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color="FFFFFF" w:sz="0"/>
              <w:left w:val="none" w:color="FFFFFF" w:sz="0"/>
              <w:bottom w:val="none" w:color="FFFFFF" w:sz="0"/>
              <w:right w:val="none" w:color="FFFFFF" w:sz="0"/>
            </w:tcBorders>
            <w:shd w:fill="312E81" w:color="312E81" w:val="clear"/>
            <w:tcMar>
              <w:top w:type="dxa" w:w="320"/>
              <w:left w:type="dxa" w:w="400"/>
              <w:bottom w:type="dxa" w:w="320"/>
              <w:right w:type="dxa" w:w="400"/>
            </w:tcMar>
          </w:tcPr>
          <w:p>
            <w:pPr>
              <w:spacing w:after="60"/>
            </w:pPr>
            <w:r>
              <w:rPr>
                <w:rFonts w:ascii="Calibri" w:cs="Calibri" w:eastAsia="Calibri" w:hAnsi="Calibri"/>
                <w:b/>
                <w:bCs/>
                <w:color w:val="FFFFFF"/>
                <w:sz w:val="30"/>
                <w:szCs w:val="30"/>
              </w:rPr>
              <w:t xml:space="preserve">RSIA MUTIARA BUNDA</w:t>
            </w:r>
          </w:p>
          <w:p>
            <w:pPr>
              <w:spacing w:after="200"/>
            </w:pPr>
            <w:r>
              <w:rPr>
                <w:rFonts w:ascii="Calibri" w:cs="Calibri" w:eastAsia="Calibri" w:hAnsi="Calibri"/>
                <w:color w:val="C7D2FE"/>
                <w:sz w:val="18"/>
                <w:szCs w:val="18"/>
              </w:rPr>
              <w:t xml:space="preserve">Jl. Ciujung No. 19, Malang</w:t>
            </w:r>
          </w:p>
          <w:p>
            <w:pPr>
              <w:spacing w:after="40"/>
            </w:pPr>
            <w:r>
              <w:rPr>
                <w:rFonts w:ascii="Calibri" w:cs="Calibri" w:eastAsia="Calibri" w:hAnsi="Calibri"/>
                <w:b/>
                <w:bCs/>
                <w:color w:val="FFFFFF"/>
                <w:sz w:val="24"/>
                <w:szCs w:val="24"/>
              </w:rPr>
              <w:t xml:space="preserve">DOKUMEN 0 — PETA DOKUMEN</w:t>
            </w:r>
          </w:p>
          <w:p>
            <w:r>
              <w:rPr>
                <w:rFonts w:ascii="Calibri" w:cs="Calibri" w:eastAsia="Calibri" w:hAnsi="Calibri"/>
                <w:color w:val="E0E7FF"/>
                <w:sz w:val="19"/>
                <w:szCs w:val="19"/>
              </w:rPr>
              <w:t xml:space="preserve">Peta &amp; Status Dokumen Etik Rumah Sakit · Program Etik Rumah Sakit</w:t>
            </w:r>
          </w:p>
        </w:tc>
      </w:tr>
    </w:tbl>
    <w:p>
      <w:pPr>
        <w:spacing w:after="100" w:before="220"/>
      </w:pPr>
    </w:p>
    <w:p>
      <w:pPr>
        <w:pStyle w:val="Heading2"/>
        <w:spacing w:after="120" w:before="260"/>
      </w:pPr>
      <w:r>
        <w:rPr>
          <w:rFonts w:ascii="Calibri" w:cs="Calibri" w:eastAsia="Calibri" w:hAnsi="Calibri"/>
          <w:b/>
          <w:bCs/>
          <w:color w:val="312E81"/>
          <w:sz w:val="21"/>
          <w:szCs w:val="21"/>
        </w:rPr>
        <w:t xml:space="preserve">Riwayat Versi Dokumen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200"/>
        <w:gridCol w:w="2200"/>
        <w:gridCol w:w="5950"/>
      </w:tblGrid>
      <w:tr>
        <w:trPr>
          <w:tblHeader/>
        </w:trPr>
        <w:tc>
          <w:tcPr>
            <w:tcW w:type="dxa" w:w="1200"/>
            <w:tcBorders>
              <w:top w:val="single" w:color="4338CA" w:sz="4"/>
              <w:left w:val="single" w:color="4338CA" w:sz="4"/>
              <w:bottom w:val="single" w:color="4338CA" w:sz="4"/>
              <w:right w:val="single" w:color="4338CA" w:sz="4"/>
            </w:tcBorders>
            <w:shd w:fill="4338CA" w:color="4338CA" w:val="clear"/>
            <w:tcMar>
              <w:top w:type="dxa" w:w="100"/>
              <w:left w:type="dxa" w:w="100"/>
              <w:bottom w:type="dxa" w:w="100"/>
              <w:right w:type="dxa" w:w="100"/>
            </w:tcMar>
            <w:vAlign w:val="center"/>
          </w:tcPr>
          <w:p>
            <w:r>
              <w:rPr>
                <w:rFonts w:ascii="Calibri" w:cs="Calibri" w:eastAsia="Calibri" w:hAnsi="Calibri"/>
                <w:b/>
                <w:bCs/>
                <w:color w:val="FFFFFF"/>
                <w:sz w:val="19"/>
                <w:szCs w:val="19"/>
              </w:rPr>
              <w:t xml:space="preserve">Versi</w:t>
            </w:r>
          </w:p>
        </w:tc>
        <w:tc>
          <w:tcPr>
            <w:tcW w:type="dxa" w:w="2200"/>
            <w:tcBorders>
              <w:top w:val="single" w:color="4338CA" w:sz="4"/>
              <w:left w:val="single" w:color="4338CA" w:sz="4"/>
              <w:bottom w:val="single" w:color="4338CA" w:sz="4"/>
              <w:right w:val="single" w:color="4338CA" w:sz="4"/>
            </w:tcBorders>
            <w:shd w:fill="4338CA" w:color="4338CA" w:val="clear"/>
            <w:tcMar>
              <w:top w:type="dxa" w:w="100"/>
              <w:left w:type="dxa" w:w="100"/>
              <w:bottom w:type="dxa" w:w="100"/>
              <w:right w:type="dxa" w:w="100"/>
            </w:tcMar>
            <w:vAlign w:val="center"/>
          </w:tcPr>
          <w:p>
            <w:r>
              <w:rPr>
                <w:rFonts w:ascii="Calibri" w:cs="Calibri" w:eastAsia="Calibri" w:hAnsi="Calibri"/>
                <w:b/>
                <w:bCs/>
                <w:color w:val="FFFFFF"/>
                <w:sz w:val="19"/>
                <w:szCs w:val="19"/>
              </w:rPr>
              <w:t xml:space="preserve">Tanggal</w:t>
            </w:r>
          </w:p>
        </w:tc>
        <w:tc>
          <w:tcPr>
            <w:tcW w:type="dxa" w:w="5950"/>
            <w:tcBorders>
              <w:top w:val="single" w:color="4338CA" w:sz="4"/>
              <w:left w:val="single" w:color="4338CA" w:sz="4"/>
              <w:bottom w:val="single" w:color="4338CA" w:sz="4"/>
              <w:right w:val="single" w:color="4338CA" w:sz="4"/>
            </w:tcBorders>
            <w:shd w:fill="4338CA" w:color="4338CA" w:val="clear"/>
            <w:tcMar>
              <w:top w:type="dxa" w:w="100"/>
              <w:left w:type="dxa" w:w="100"/>
              <w:bottom w:type="dxa" w:w="100"/>
              <w:right w:type="dxa" w:w="100"/>
            </w:tcMar>
            <w:vAlign w:val="center"/>
          </w:tcPr>
          <w:p>
            <w:r>
              <w:rPr>
                <w:rFonts w:ascii="Calibri" w:cs="Calibri" w:eastAsia="Calibri" w:hAnsi="Calibri"/>
                <w:b/>
                <w:bCs/>
                <w:color w:val="FFFFFF"/>
                <w:sz w:val="19"/>
                <w:szCs w:val="19"/>
              </w:rPr>
              <w:t xml:space="preserve">Keterangan</w:t>
            </w:r>
          </w:p>
        </w:tc>
      </w:tr>
      <w:tr>
        <w:tc>
          <w:tcPr>
            <w:tcW w:type="dxa" w:w="12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1.0</w:t>
            </w:r>
          </w:p>
        </w:tc>
        <w:tc>
          <w:tcPr>
            <w:tcW w:type="dxa" w:w="22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w:t>
            </w:r>
          </w:p>
        </w:tc>
        <w:tc>
          <w:tcPr>
            <w:tcW w:type="dxa" w:w="595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Penyusunan awal peta dokumen etik.</w:t>
            </w:r>
          </w:p>
        </w:tc>
      </w:tr>
      <w:tr>
        <w:tc>
          <w:tcPr>
            <w:tcW w:type="dxa" w:w="1200"/>
            <w:tcBorders>
              <w:top w:val="single" w:color="E2E8F0" w:sz="4"/>
              <w:left w:val="single" w:color="E2E8F0" w:sz="4"/>
              <w:bottom w:val="single" w:color="E2E8F0" w:sz="4"/>
              <w:right w:val="single" w:color="E2E8F0" w:sz="4"/>
            </w:tcBorders>
            <w:shd w:fill="EEF2FF" w:color="EEF2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2.0</w:t>
            </w:r>
          </w:p>
        </w:tc>
        <w:tc>
          <w:tcPr>
            <w:tcW w:type="dxa" w:w="2200"/>
            <w:tcBorders>
              <w:top w:val="single" w:color="E2E8F0" w:sz="4"/>
              <w:left w:val="single" w:color="E2E8F0" w:sz="4"/>
              <w:bottom w:val="single" w:color="E2E8F0" w:sz="4"/>
              <w:right w:val="single" w:color="E2E8F0" w:sz="4"/>
            </w:tcBorders>
            <w:shd w:fill="EEF2FF" w:color="EEF2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5 Agustus 2026</w:t>
            </w:r>
          </w:p>
        </w:tc>
        <w:tc>
          <w:tcPr>
            <w:tcW w:type="dxa" w:w="5950"/>
            <w:tcBorders>
              <w:top w:val="single" w:color="E2E8F0" w:sz="4"/>
              <w:left w:val="single" w:color="E2E8F0" w:sz="4"/>
              <w:bottom w:val="single" w:color="E2E8F0" w:sz="4"/>
              <w:right w:val="single" w:color="E2E8F0" w:sz="4"/>
            </w:tcBorders>
            <w:shd w:fill="EEF2FF" w:color="EEF2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Pemutakhiran dasar hukum ke Permenkes No. 6 Tahun 2026, penyesuaian rujukan lembaga akreditasi, dan penambahan kontrol dokumen.</w:t>
            </w:r>
          </w:p>
        </w:tc>
      </w:tr>
    </w:tbl>
    <w:p>
      <w:pPr>
        <w:pStyle w:val="Heading1"/>
        <w:pBdr>
          <w:bottom w:val="single" w:color="4338CA" w:sz="8"/>
        </w:pBdr>
        <w:spacing w:after="160" w:before="320"/>
      </w:pPr>
      <w:r>
        <w:rPr>
          <w:rFonts w:ascii="Calibri" w:cs="Calibri" w:eastAsia="Calibri" w:hAnsi="Calibri"/>
          <w:b/>
          <w:bCs/>
          <w:color w:val="312E81"/>
          <w:sz w:val="26"/>
          <w:szCs w:val="26"/>
        </w:rPr>
        <w:t xml:space="preserve">Peta Dokumen Etik Rumah Sakit</w:t>
      </w:r>
    </w:p>
    <w:p>
      <w:pPr>
        <w:spacing w:after="160"/>
      </w:pPr>
      <w:r>
        <w:rPr>
          <w:rFonts w:ascii="Calibri" w:cs="Calibri" w:eastAsia="Calibri" w:hAnsi="Calibri"/>
          <w:i w:val="false"/>
          <w:iCs w:val="false"/>
          <w:color w:val="1E293B"/>
          <w:sz w:val="19"/>
          <w:szCs w:val="19"/>
        </w:rPr>
        <w:t xml:space="preserve">Tabel berikut memetakan seluruh dokumen yang dibutuhkan agar tata kelola etik RSIA Mutiara Bunda berjalan lengkap, mengacu pada Peraturan Menteri Kesehatan Nomor 6 Tahun 2026 tentang Rumah Sakit (“Permenkes 6/2026”). Permenkes 6/2026 ditetapkan 4 Juni 2026 dan berlaku sejak diundangkan 12 Juni 2026, serta mencabut dan menggantikan 21 peraturan sebelumnya — termasuk Peraturan Menteri Kesehatan Nomor 42 Tahun 2018 tentang Komite Etik dan Hukum Rumah Sakit yang menjadi acuan versi sebelumnya. Seluruh rujukan pengorganisasian Komite Etik dan Hukum RS pada peta ini telah disesuaikan dengan Permenkes 6/2026.</w:t>
      </w:r>
    </w:p>
    <w:p>
      <w:pPr>
        <w:spacing w:after="160"/>
      </w:pPr>
      <w:r>
        <w:rPr>
          <w:rFonts w:ascii="Calibri" w:cs="Calibri" w:eastAsia="Calibri" w:hAnsi="Calibri"/>
          <w:i w:val="false"/>
          <w:iCs w:val="false"/>
          <w:color w:val="1E293B"/>
          <w:sz w:val="19"/>
          <w:szCs w:val="19"/>
        </w:rPr>
        <w:t xml:space="preserve">Uraian tugas Komite Etik yang pada Pedoman induk belum memiliki dokumen pendukung telah dilengkapi pada peta ini; tidak ada tugas yang dihapus karena seluruhnya tetap relevan bagi rumah sakit tipe RSIA.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E2E8F0" w:sz="4"/>
              <w:left w:val="single" w:color="4338CA" w:sz="36"/>
              <w:bottom w:val="single" w:color="E2E8F0" w:sz="4"/>
              <w:right w:val="single" w:color="E2E8F0" w:sz="4"/>
            </w:tcBorders>
            <w:shd w:fill="EEF2FF" w:color="EEF2FF" w:val="clear"/>
            <w:tcMar>
              <w:top w:type="dxa" w:w="200"/>
              <w:left w:type="dxa" w:w="300"/>
              <w:bottom w:type="dxa" w:w="200"/>
              <w:right w:type="dxa" w:w="300"/>
            </w:tcMar>
          </w:tcPr>
          <w:p>
            <w:pPr>
              <w:spacing w:after="100"/>
            </w:pPr>
            <w:r>
              <w:rPr>
                <w:rFonts w:ascii="Calibri" w:cs="Calibri" w:eastAsia="Calibri" w:hAnsi="Calibri"/>
                <w:b/>
                <w:bCs/>
                <w:color w:val="312E81"/>
                <w:sz w:val="20"/>
                <w:szCs w:val="20"/>
              </w:rPr>
              <w:t xml:space="preserve">Catatan Kepatuhan Regulasi</w:t>
            </w:r>
          </w:p>
          <w:p>
            <w:pPr>
              <w:spacing w:after="60"/>
            </w:pPr>
            <w:r>
              <w:rPr>
                <w:rFonts w:ascii="Calibri" w:cs="Calibri" w:eastAsia="Calibri" w:hAnsi="Calibri"/>
                <w:color w:val="1E293B"/>
                <w:sz w:val="19"/>
                <w:szCs w:val="19"/>
              </w:rPr>
              <w:t xml:space="preserve">•  Permenkes 6/2026 memberikan masa penyesuaian bagi rumah sakit terhadap ketentuan barunya; peraturan pelaksana (turunan) yang mengatur teknis komite masih dalam proses penyusunan oleh Kementerian Kesehatan. Peta ini perlu ditinjau ulang setiap ada peraturan turunan baru yang terbit.</w:t>
            </w:r>
          </w:p>
          <w:p>
            <w:pPr>
              <w:spacing w:after="60"/>
            </w:pPr>
            <w:r>
              <w:rPr>
                <w:rFonts w:ascii="Calibri" w:cs="Calibri" w:eastAsia="Calibri" w:hAnsi="Calibri"/>
                <w:color w:val="1E293B"/>
                <w:sz w:val="19"/>
                <w:szCs w:val="19"/>
              </w:rPr>
              <w:t xml:space="preserve">•  Komite Etik dan Hukum RS perlu dibedakan dari Unit Pencegahan dan Penanganan Permasalahan Hukum (UP3H) yang diatur dalam Permenkes No. 13 Tahun 2025 — keduanya beririsan tujuan namun berbeda fokus (Komite Etik dan Hukum bersifat normatif-strategis, sedangkan fungsi UP3H bersifat operasional-protektif untuk perlindungan hukum tenaga medis dan penanganan sengketa). Struktur RSIA Mutiara Bunda agar tidak menggabungkan kedua fungsi ini tanpa kajian.</w:t>
            </w:r>
          </w:p>
          <w:p>
            <w:pPr>
              <w:spacing w:after="60"/>
            </w:pPr>
            <w:r>
              <w:rPr>
                <w:rFonts w:ascii="Calibri" w:cs="Calibri" w:eastAsia="Calibri" w:hAnsi="Calibri"/>
                <w:color w:val="1E293B"/>
                <w:sz w:val="19"/>
                <w:szCs w:val="19"/>
              </w:rPr>
              <w:t xml:space="preserve">•  Rujukan standar akreditasi pada dokumen turunan (No. 2 dst.) mengacu pada lembaga penyelenggara akreditasi rumah sakit yang telah dikukuhkan Kementerian Kesehatan (a.l. KARS, LAFKI, LARS, LARS DHP, LARSI, LAM-KPRS), bukan satu lembaga tunggal — rumah sakit bebas memilih lembaga akreditasinya.</w:t>
            </w:r>
          </w:p>
        </w:tc>
      </w:tr>
    </w:tbl>
    <w:p>
      <w:pPr>
        <w:spacing w:after="120" w:before="20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500"/>
        <w:gridCol w:w="2500"/>
        <w:gridCol w:w="1300"/>
        <w:gridCol w:w="4200"/>
        <w:gridCol w:w="850"/>
      </w:tblGrid>
      <w:tr>
        <w:trPr>
          <w:tblHeader/>
        </w:trPr>
        <w:tc>
          <w:tcPr>
            <w:tcW w:type="dxa" w:w="500"/>
            <w:tcBorders>
              <w:top w:val="single" w:color="4338CA" w:sz="4"/>
              <w:left w:val="single" w:color="4338CA" w:sz="4"/>
              <w:bottom w:val="single" w:color="4338CA" w:sz="4"/>
              <w:right w:val="single" w:color="4338CA" w:sz="4"/>
            </w:tcBorders>
            <w:shd w:fill="4338CA" w:color="4338CA" w:val="clear"/>
            <w:tcMar>
              <w:top w:type="dxa" w:w="100"/>
              <w:left w:type="dxa" w:w="100"/>
              <w:bottom w:type="dxa" w:w="100"/>
              <w:right w:type="dxa" w:w="100"/>
            </w:tcMar>
            <w:vAlign w:val="center"/>
          </w:tcPr>
          <w:p>
            <w:r>
              <w:rPr>
                <w:rFonts w:ascii="Calibri" w:cs="Calibri" w:eastAsia="Calibri" w:hAnsi="Calibri"/>
                <w:b/>
                <w:bCs/>
                <w:color w:val="FFFFFF"/>
                <w:sz w:val="19"/>
                <w:szCs w:val="19"/>
              </w:rPr>
              <w:t xml:space="preserve">No</w:t>
            </w:r>
          </w:p>
        </w:tc>
        <w:tc>
          <w:tcPr>
            <w:tcW w:type="dxa" w:w="2500"/>
            <w:tcBorders>
              <w:top w:val="single" w:color="4338CA" w:sz="4"/>
              <w:left w:val="single" w:color="4338CA" w:sz="4"/>
              <w:bottom w:val="single" w:color="4338CA" w:sz="4"/>
              <w:right w:val="single" w:color="4338CA" w:sz="4"/>
            </w:tcBorders>
            <w:shd w:fill="4338CA" w:color="4338CA" w:val="clear"/>
            <w:tcMar>
              <w:top w:type="dxa" w:w="100"/>
              <w:left w:type="dxa" w:w="100"/>
              <w:bottom w:type="dxa" w:w="100"/>
              <w:right w:type="dxa" w:w="100"/>
            </w:tcMar>
            <w:vAlign w:val="center"/>
          </w:tcPr>
          <w:p>
            <w:r>
              <w:rPr>
                <w:rFonts w:ascii="Calibri" w:cs="Calibri" w:eastAsia="Calibri" w:hAnsi="Calibri"/>
                <w:b/>
                <w:bCs/>
                <w:color w:val="FFFFFF"/>
                <w:sz w:val="19"/>
                <w:szCs w:val="19"/>
              </w:rPr>
              <w:t xml:space="preserve">Nama Dokumen</w:t>
            </w:r>
          </w:p>
        </w:tc>
        <w:tc>
          <w:tcPr>
            <w:tcW w:type="dxa" w:w="1300"/>
            <w:tcBorders>
              <w:top w:val="single" w:color="4338CA" w:sz="4"/>
              <w:left w:val="single" w:color="4338CA" w:sz="4"/>
              <w:bottom w:val="single" w:color="4338CA" w:sz="4"/>
              <w:right w:val="single" w:color="4338CA" w:sz="4"/>
            </w:tcBorders>
            <w:shd w:fill="4338CA" w:color="4338CA" w:val="clear"/>
            <w:tcMar>
              <w:top w:type="dxa" w:w="100"/>
              <w:left w:type="dxa" w:w="100"/>
              <w:bottom w:type="dxa" w:w="100"/>
              <w:right w:type="dxa" w:w="100"/>
            </w:tcMar>
            <w:vAlign w:val="center"/>
          </w:tcPr>
          <w:p>
            <w:r>
              <w:rPr>
                <w:rFonts w:ascii="Calibri" w:cs="Calibri" w:eastAsia="Calibri" w:hAnsi="Calibri"/>
                <w:b/>
                <w:bCs/>
                <w:color w:val="FFFFFF"/>
                <w:sz w:val="19"/>
                <w:szCs w:val="19"/>
              </w:rPr>
              <w:t xml:space="preserve">Jenis</w:t>
            </w:r>
          </w:p>
        </w:tc>
        <w:tc>
          <w:tcPr>
            <w:tcW w:type="dxa" w:w="4200"/>
            <w:tcBorders>
              <w:top w:val="single" w:color="4338CA" w:sz="4"/>
              <w:left w:val="single" w:color="4338CA" w:sz="4"/>
              <w:bottom w:val="single" w:color="4338CA" w:sz="4"/>
              <w:right w:val="single" w:color="4338CA" w:sz="4"/>
            </w:tcBorders>
            <w:shd w:fill="4338CA" w:color="4338CA" w:val="clear"/>
            <w:tcMar>
              <w:top w:type="dxa" w:w="100"/>
              <w:left w:type="dxa" w:w="100"/>
              <w:bottom w:type="dxa" w:w="100"/>
              <w:right w:type="dxa" w:w="100"/>
            </w:tcMar>
            <w:vAlign w:val="center"/>
          </w:tcPr>
          <w:p>
            <w:r>
              <w:rPr>
                <w:rFonts w:ascii="Calibri" w:cs="Calibri" w:eastAsia="Calibri" w:hAnsi="Calibri"/>
                <w:b/>
                <w:bCs/>
                <w:color w:val="FFFFFF"/>
                <w:sz w:val="19"/>
                <w:szCs w:val="19"/>
              </w:rPr>
              <w:t xml:space="preserve">Alasan / Fungsi</w:t>
            </w:r>
          </w:p>
        </w:tc>
        <w:tc>
          <w:tcPr>
            <w:tcW w:type="dxa" w:w="850"/>
            <w:tcBorders>
              <w:top w:val="single" w:color="4338CA" w:sz="4"/>
              <w:left w:val="single" w:color="4338CA" w:sz="4"/>
              <w:bottom w:val="single" w:color="4338CA" w:sz="4"/>
              <w:right w:val="single" w:color="4338CA" w:sz="4"/>
            </w:tcBorders>
            <w:shd w:fill="4338CA" w:color="4338CA" w:val="clear"/>
            <w:tcMar>
              <w:top w:type="dxa" w:w="100"/>
              <w:left w:type="dxa" w:w="100"/>
              <w:bottom w:type="dxa" w:w="100"/>
              <w:right w:type="dxa" w:w="100"/>
            </w:tcMar>
            <w:vAlign w:val="center"/>
          </w:tcPr>
          <w:p>
            <w:r>
              <w:rPr>
                <w:rFonts w:ascii="Calibri" w:cs="Calibri" w:eastAsia="Calibri" w:hAnsi="Calibri"/>
                <w:b/>
                <w:bCs/>
                <w:color w:val="FFFFFF"/>
                <w:sz w:val="19"/>
                <w:szCs w:val="19"/>
              </w:rPr>
              <w:t xml:space="preserve">Status</w:t>
            </w:r>
          </w:p>
        </w:tc>
      </w:tr>
      <w:tr>
        <w:tc>
          <w:tcPr>
            <w:tcW w:type="dxa" w:w="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0</w:t>
            </w:r>
          </w:p>
        </w:tc>
        <w:tc>
          <w:tcPr>
            <w:tcW w:type="dxa" w:w="2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Peraturan Direktur / SK Pembentukan Komite Etik dan Hukum RS</w:t>
            </w:r>
          </w:p>
        </w:tc>
        <w:tc>
          <w:tcPr>
            <w:tcW w:type="dxa" w:w="13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Legal</w:t>
            </w:r>
          </w:p>
        </w:tc>
        <w:tc>
          <w:tcPr>
            <w:tcW w:type="dxa" w:w="42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Dasar hukum pembentukan dan susunan personalia komite. Wajib ada — tanpa ini, komite tidak memiliki legalitas formal.</w:t>
            </w:r>
          </w:p>
        </w:tc>
        <w:tc>
          <w:tcPr>
            <w:tcW w:type="dxa" w:w="1600"/>
            <w:tcBorders>
              <w:top w:val="single" w:color="E2E8F0" w:sz="4"/>
              <w:left w:val="single" w:color="E2E8F0" w:sz="4"/>
              <w:bottom w:val="single" w:color="E2E8F0" w:sz="4"/>
              <w:right w:val="single" w:color="E2E8F0" w:sz="4"/>
            </w:tcBorders>
            <w:shd w:fill="FEF3C7" w:color="FEF3C7" w:val="clear"/>
            <w:tcMar>
              <w:top w:type="dxa" w:w="80"/>
              <w:left w:type="dxa" w:w="100"/>
              <w:bottom w:type="dxa" w:w="80"/>
              <w:right w:type="dxa" w:w="100"/>
            </w:tcMar>
            <w:vAlign w:val="center"/>
          </w:tcPr>
          <w:p>
            <w:pPr>
              <w:jc w:val="center"/>
            </w:pPr>
            <w:r>
              <w:rPr>
                <w:rFonts w:ascii="Calibri" w:cs="Calibri" w:eastAsia="Calibri" w:hAnsi="Calibri"/>
                <w:b/>
                <w:bCs/>
                <w:color w:val="92400E"/>
                <w:sz w:val="17"/>
                <w:szCs w:val="17"/>
              </w:rPr>
              <w:t xml:space="preserve">Perlu Disusun</w:t>
            </w:r>
          </w:p>
        </w:tc>
      </w:tr>
      <w:tr>
        <w:tc>
          <w:tcPr>
            <w:tcW w:type="dxa" w:w="5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1</w:t>
            </w:r>
          </w:p>
        </w:tc>
        <w:tc>
          <w:tcPr>
            <w:tcW w:type="dxa" w:w="25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Pedoman Pengelolaan Kode Etik RS (dokumen induk)</w:t>
            </w:r>
          </w:p>
        </w:tc>
        <w:tc>
          <w:tcPr>
            <w:tcW w:type="dxa" w:w="13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Pedoman</w:t>
            </w:r>
          </w:p>
        </w:tc>
        <w:tc>
          <w:tcPr>
            <w:tcW w:type="dxa" w:w="42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Mengatur nilai, organisasi, dan mekanisme kerja komite. Telah direvisi mengikuti pemutakhiran dasar hukum pada versi ini.</w:t>
            </w:r>
          </w:p>
        </w:tc>
        <w:tc>
          <w:tcPr>
            <w:tcW w:type="dxa" w:w="1600"/>
            <w:tcBorders>
              <w:top w:val="single" w:color="E2E8F0" w:sz="4"/>
              <w:left w:val="single" w:color="E2E8F0" w:sz="4"/>
              <w:bottom w:val="single" w:color="E2E8F0" w:sz="4"/>
              <w:right w:val="single" w:color="E2E8F0" w:sz="4"/>
            </w:tcBorders>
            <w:shd w:fill="DCFCE7" w:color="DCFCE7" w:val="clear"/>
            <w:tcMar>
              <w:top w:type="dxa" w:w="80"/>
              <w:left w:type="dxa" w:w="100"/>
              <w:bottom w:type="dxa" w:w="80"/>
              <w:right w:type="dxa" w:w="100"/>
            </w:tcMar>
            <w:vAlign w:val="center"/>
          </w:tcPr>
          <w:p>
            <w:pPr>
              <w:jc w:val="center"/>
            </w:pPr>
            <w:r>
              <w:rPr>
                <w:rFonts w:ascii="Calibri" w:cs="Calibri" w:eastAsia="Calibri" w:hAnsi="Calibri"/>
                <w:b/>
                <w:bCs/>
                <w:color w:val="166534"/>
                <w:sz w:val="17"/>
                <w:szCs w:val="17"/>
              </w:rPr>
              <w:t xml:space="preserve">Sudah Direvisi</w:t>
            </w:r>
          </w:p>
        </w:tc>
      </w:tr>
      <w:tr>
        <w:tc>
          <w:tcPr>
            <w:tcW w:type="dxa" w:w="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2</w:t>
            </w:r>
          </w:p>
        </w:tc>
        <w:tc>
          <w:tcPr>
            <w:tcW w:type="dxa" w:w="2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Pedoman Pengorganisasian Komite Etik dan Hukum RS</w:t>
            </w:r>
          </w:p>
        </w:tc>
        <w:tc>
          <w:tcPr>
            <w:tcW w:type="dxa" w:w="13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Pedoman</w:t>
            </w:r>
          </w:p>
        </w:tc>
        <w:tc>
          <w:tcPr>
            <w:tcW w:type="dxa" w:w="42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Struktur, uraian tugas rinci per posisi, tata hubungan kerja, dan kualifikasi personil. Standar dari lembaga penyelenggara akreditasi RS (a.l. KARS, LAFKI, LARS, LARS DHP, LARSI, LAM-KPRS) umumnya mensyaratkan dokumen ini terpisah dari pedoman pelayanan.</w:t>
            </w:r>
          </w:p>
        </w:tc>
        <w:tc>
          <w:tcPr>
            <w:tcW w:type="dxa" w:w="1600"/>
            <w:tcBorders>
              <w:top w:val="single" w:color="E2E8F0" w:sz="4"/>
              <w:left w:val="single" w:color="E2E8F0" w:sz="4"/>
              <w:bottom w:val="single" w:color="E2E8F0" w:sz="4"/>
              <w:right w:val="single" w:color="E2E8F0" w:sz="4"/>
            </w:tcBorders>
            <w:shd w:fill="FEF3C7" w:color="FEF3C7" w:val="clear"/>
            <w:tcMar>
              <w:top w:type="dxa" w:w="80"/>
              <w:left w:type="dxa" w:w="100"/>
              <w:bottom w:type="dxa" w:w="80"/>
              <w:right w:type="dxa" w:w="100"/>
            </w:tcMar>
            <w:vAlign w:val="center"/>
          </w:tcPr>
          <w:p>
            <w:pPr>
              <w:jc w:val="center"/>
            </w:pPr>
            <w:r>
              <w:rPr>
                <w:rFonts w:ascii="Calibri" w:cs="Calibri" w:eastAsia="Calibri" w:hAnsi="Calibri"/>
                <w:b/>
                <w:bCs/>
                <w:color w:val="92400E"/>
                <w:sz w:val="17"/>
                <w:szCs w:val="17"/>
              </w:rPr>
              <w:t xml:space="preserve">Perlu Disusun</w:t>
            </w:r>
          </w:p>
        </w:tc>
      </w:tr>
      <w:tr>
        <w:tc>
          <w:tcPr>
            <w:tcW w:type="dxa" w:w="5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3</w:t>
            </w:r>
          </w:p>
        </w:tc>
        <w:tc>
          <w:tcPr>
            <w:tcW w:type="dxa" w:w="25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Buku Kode Etik Rumah Sakit (versi ringkas/saku)</w:t>
            </w:r>
          </w:p>
        </w:tc>
        <w:tc>
          <w:tcPr>
            <w:tcW w:type="dxa" w:w="13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Kode Etik</w:t>
            </w:r>
          </w:p>
        </w:tc>
        <w:tc>
          <w:tcPr>
            <w:tcW w:type="dxa" w:w="42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Norma perilaku yang wajib ditandatangani dan dipahami tiap pegawai; versi tempel/edukasi, terpisah dari pedoman pengelolaan.</w:t>
            </w:r>
          </w:p>
        </w:tc>
        <w:tc>
          <w:tcPr>
            <w:tcW w:type="dxa" w:w="1600"/>
            <w:tcBorders>
              <w:top w:val="single" w:color="E2E8F0" w:sz="4"/>
              <w:left w:val="single" w:color="E2E8F0" w:sz="4"/>
              <w:bottom w:val="single" w:color="E2E8F0" w:sz="4"/>
              <w:right w:val="single" w:color="E2E8F0" w:sz="4"/>
            </w:tcBorders>
            <w:shd w:fill="FEF3C7" w:color="FEF3C7" w:val="clear"/>
            <w:tcMar>
              <w:top w:type="dxa" w:w="80"/>
              <w:left w:type="dxa" w:w="100"/>
              <w:bottom w:type="dxa" w:w="80"/>
              <w:right w:type="dxa" w:w="100"/>
            </w:tcMar>
            <w:vAlign w:val="center"/>
          </w:tcPr>
          <w:p>
            <w:pPr>
              <w:jc w:val="center"/>
            </w:pPr>
            <w:r>
              <w:rPr>
                <w:rFonts w:ascii="Calibri" w:cs="Calibri" w:eastAsia="Calibri" w:hAnsi="Calibri"/>
                <w:b/>
                <w:bCs/>
                <w:color w:val="92400E"/>
                <w:sz w:val="17"/>
                <w:szCs w:val="17"/>
              </w:rPr>
              <w:t xml:space="preserve">Perlu Disusun</w:t>
            </w:r>
          </w:p>
        </w:tc>
      </w:tr>
      <w:tr>
        <w:tc>
          <w:tcPr>
            <w:tcW w:type="dxa" w:w="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4</w:t>
            </w:r>
          </w:p>
        </w:tc>
        <w:tc>
          <w:tcPr>
            <w:tcW w:type="dxa" w:w="2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Program Kerja Tahunan Komite Etik dan Hukum RS</w:t>
            </w:r>
          </w:p>
        </w:tc>
        <w:tc>
          <w:tcPr>
            <w:tcW w:type="dxa" w:w="13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Program Kerja</w:t>
            </w:r>
          </w:p>
        </w:tc>
        <w:tc>
          <w:tcPr>
            <w:tcW w:type="dxa" w:w="42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Target dan jadwal sosialisasi, pembinaan, serta monitoring — dibutuhkan untuk anggaran dan akreditasi.</w:t>
            </w:r>
          </w:p>
        </w:tc>
        <w:tc>
          <w:tcPr>
            <w:tcW w:type="dxa" w:w="1600"/>
            <w:tcBorders>
              <w:top w:val="single" w:color="E2E8F0" w:sz="4"/>
              <w:left w:val="single" w:color="E2E8F0" w:sz="4"/>
              <w:bottom w:val="single" w:color="E2E8F0" w:sz="4"/>
              <w:right w:val="single" w:color="E2E8F0" w:sz="4"/>
            </w:tcBorders>
            <w:shd w:fill="FEF3C7" w:color="FEF3C7" w:val="clear"/>
            <w:tcMar>
              <w:top w:type="dxa" w:w="80"/>
              <w:left w:type="dxa" w:w="100"/>
              <w:bottom w:type="dxa" w:w="80"/>
              <w:right w:type="dxa" w:w="100"/>
            </w:tcMar>
            <w:vAlign w:val="center"/>
          </w:tcPr>
          <w:p>
            <w:pPr>
              <w:jc w:val="center"/>
            </w:pPr>
            <w:r>
              <w:rPr>
                <w:rFonts w:ascii="Calibri" w:cs="Calibri" w:eastAsia="Calibri" w:hAnsi="Calibri"/>
                <w:b/>
                <w:bCs/>
                <w:color w:val="92400E"/>
                <w:sz w:val="17"/>
                <w:szCs w:val="17"/>
              </w:rPr>
              <w:t xml:space="preserve">Perlu Disusun</w:t>
            </w:r>
          </w:p>
        </w:tc>
      </w:tr>
      <w:tr>
        <w:tc>
          <w:tcPr>
            <w:tcW w:type="dxa" w:w="5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5</w:t>
            </w:r>
          </w:p>
        </w:tc>
        <w:tc>
          <w:tcPr>
            <w:tcW w:type="dxa" w:w="25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Panduan &amp; SPO Penanganan Pelaporan Dugaan Pelanggaran Etik</w:t>
            </w:r>
          </w:p>
        </w:tc>
        <w:tc>
          <w:tcPr>
            <w:tcW w:type="dxa" w:w="13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Panduan + SPO</w:t>
            </w:r>
          </w:p>
        </w:tc>
        <w:tc>
          <w:tcPr>
            <w:tcW w:type="dxa" w:w="42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Alur baku: pelaporan → verifikasi → investigasi → sidang → rekomendasi → tindak lanjut.</w:t>
            </w:r>
          </w:p>
        </w:tc>
        <w:tc>
          <w:tcPr>
            <w:tcW w:type="dxa" w:w="1600"/>
            <w:tcBorders>
              <w:top w:val="single" w:color="E2E8F0" w:sz="4"/>
              <w:left w:val="single" w:color="E2E8F0" w:sz="4"/>
              <w:bottom w:val="single" w:color="E2E8F0" w:sz="4"/>
              <w:right w:val="single" w:color="E2E8F0" w:sz="4"/>
            </w:tcBorders>
            <w:shd w:fill="FEF3C7" w:color="FEF3C7" w:val="clear"/>
            <w:tcMar>
              <w:top w:type="dxa" w:w="80"/>
              <w:left w:type="dxa" w:w="100"/>
              <w:bottom w:type="dxa" w:w="80"/>
              <w:right w:type="dxa" w:w="100"/>
            </w:tcMar>
            <w:vAlign w:val="center"/>
          </w:tcPr>
          <w:p>
            <w:pPr>
              <w:jc w:val="center"/>
            </w:pPr>
            <w:r>
              <w:rPr>
                <w:rFonts w:ascii="Calibri" w:cs="Calibri" w:eastAsia="Calibri" w:hAnsi="Calibri"/>
                <w:b/>
                <w:bCs/>
                <w:color w:val="92400E"/>
                <w:sz w:val="17"/>
                <w:szCs w:val="17"/>
              </w:rPr>
              <w:t xml:space="preserve">Perlu Disusun</w:t>
            </w:r>
          </w:p>
        </w:tc>
      </w:tr>
      <w:tr>
        <w:tc>
          <w:tcPr>
            <w:tcW w:type="dxa" w:w="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6</w:t>
            </w:r>
          </w:p>
        </w:tc>
        <w:tc>
          <w:tcPr>
            <w:tcW w:type="dxa" w:w="2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Kumpulan Formulir Kerja Komite Etik dan Hukum RS</w:t>
            </w:r>
          </w:p>
        </w:tc>
        <w:tc>
          <w:tcPr>
            <w:tcW w:type="dxa" w:w="13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Formulir</w:t>
            </w:r>
          </w:p>
        </w:tc>
        <w:tc>
          <w:tcPr>
            <w:tcW w:type="dxa" w:w="42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Formulir pengaduan, konsultasi etik, register, berita acara investigasi dan sidang, serta rekomendasi.</w:t>
            </w:r>
          </w:p>
        </w:tc>
        <w:tc>
          <w:tcPr>
            <w:tcW w:type="dxa" w:w="1600"/>
            <w:tcBorders>
              <w:top w:val="single" w:color="E2E8F0" w:sz="4"/>
              <w:left w:val="single" w:color="E2E8F0" w:sz="4"/>
              <w:bottom w:val="single" w:color="E2E8F0" w:sz="4"/>
              <w:right w:val="single" w:color="E2E8F0" w:sz="4"/>
            </w:tcBorders>
            <w:shd w:fill="FEF3C7" w:color="FEF3C7" w:val="clear"/>
            <w:tcMar>
              <w:top w:type="dxa" w:w="80"/>
              <w:left w:type="dxa" w:w="100"/>
              <w:bottom w:type="dxa" w:w="80"/>
              <w:right w:type="dxa" w:w="100"/>
            </w:tcMar>
            <w:vAlign w:val="center"/>
          </w:tcPr>
          <w:p>
            <w:pPr>
              <w:jc w:val="center"/>
            </w:pPr>
            <w:r>
              <w:rPr>
                <w:rFonts w:ascii="Calibri" w:cs="Calibri" w:eastAsia="Calibri" w:hAnsi="Calibri"/>
                <w:b/>
                <w:bCs/>
                <w:color w:val="92400E"/>
                <w:sz w:val="17"/>
                <w:szCs w:val="17"/>
              </w:rPr>
              <w:t xml:space="preserve">Perlu Disusun</w:t>
            </w:r>
          </w:p>
        </w:tc>
      </w:tr>
      <w:tr>
        <w:tc>
          <w:tcPr>
            <w:tcW w:type="dxa" w:w="5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7</w:t>
            </w:r>
          </w:p>
        </w:tc>
        <w:tc>
          <w:tcPr>
            <w:tcW w:type="dxa" w:w="25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Pakta Integritas Pegawai</w:t>
            </w:r>
          </w:p>
        </w:tc>
        <w:tc>
          <w:tcPr>
            <w:tcW w:type="dxa" w:w="13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Formulir / Pernyataan</w:t>
            </w:r>
          </w:p>
        </w:tc>
        <w:tc>
          <w:tcPr>
            <w:tcW w:type="dxa" w:w="4200"/>
            <w:tcBorders>
              <w:top w:val="single" w:color="E2E8F0" w:sz="4"/>
              <w:left w:val="single" w:color="E2E8F0" w:sz="4"/>
              <w:bottom w:val="single" w:color="E2E8F0" w:sz="4"/>
              <w:right w:val="single" w:color="E2E8F0" w:sz="4"/>
            </w:tcBorders>
            <w:shd w:fill="F1F5F9" w:color="F1F5F9"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Bukti komitmen tiap pegawai; disebut dalam pedoman induk Bab II namun dokumennya belum tersedia.</w:t>
            </w:r>
          </w:p>
        </w:tc>
        <w:tc>
          <w:tcPr>
            <w:tcW w:type="dxa" w:w="1600"/>
            <w:tcBorders>
              <w:top w:val="single" w:color="E2E8F0" w:sz="4"/>
              <w:left w:val="single" w:color="E2E8F0" w:sz="4"/>
              <w:bottom w:val="single" w:color="E2E8F0" w:sz="4"/>
              <w:right w:val="single" w:color="E2E8F0" w:sz="4"/>
            </w:tcBorders>
            <w:shd w:fill="FEF3C7" w:color="FEF3C7" w:val="clear"/>
            <w:tcMar>
              <w:top w:type="dxa" w:w="80"/>
              <w:left w:type="dxa" w:w="100"/>
              <w:bottom w:type="dxa" w:w="80"/>
              <w:right w:type="dxa" w:w="100"/>
            </w:tcMar>
            <w:vAlign w:val="center"/>
          </w:tcPr>
          <w:p>
            <w:pPr>
              <w:jc w:val="center"/>
            </w:pPr>
            <w:r>
              <w:rPr>
                <w:rFonts w:ascii="Calibri" w:cs="Calibri" w:eastAsia="Calibri" w:hAnsi="Calibri"/>
                <w:b/>
                <w:bCs/>
                <w:color w:val="92400E"/>
                <w:sz w:val="17"/>
                <w:szCs w:val="17"/>
              </w:rPr>
              <w:t xml:space="preserve">Perlu Disusun</w:t>
            </w:r>
          </w:p>
        </w:tc>
      </w:tr>
      <w:tr>
        <w:tc>
          <w:tcPr>
            <w:tcW w:type="dxa" w:w="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8</w:t>
            </w:r>
          </w:p>
        </w:tc>
        <w:tc>
          <w:tcPr>
            <w:tcW w:type="dxa" w:w="25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bCs/>
                <w:color w:val="1E293B"/>
                <w:sz w:val="19"/>
                <w:szCs w:val="19"/>
              </w:rPr>
              <w:t xml:space="preserve">Format Laporan Kegiatan Komite Etik dan Hukum RS (Triwulan/Tahunan)</w:t>
            </w:r>
          </w:p>
        </w:tc>
        <w:tc>
          <w:tcPr>
            <w:tcW w:type="dxa" w:w="13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Laporan</w:t>
            </w:r>
          </w:p>
        </w:tc>
        <w:tc>
          <w:tcPr>
            <w:tcW w:type="dxa" w:w="4200"/>
            <w:tcBorders>
              <w:top w:val="single" w:color="E2E8F0" w:sz="4"/>
              <w:left w:val="single" w:color="E2E8F0" w:sz="4"/>
              <w:bottom w:val="single" w:color="E2E8F0" w:sz="4"/>
              <w:right w:val="single" w:color="E2E8F0" w:sz="4"/>
            </w:tcBorders>
            <w:shd w:fill="FFFFFF" w:color="FFFFFF" w:val="clear"/>
            <w:tcMar>
              <w:top w:type="dxa" w:w="100"/>
              <w:left w:type="dxa" w:w="100"/>
              <w:bottom w:type="dxa" w:w="100"/>
              <w:right w:type="dxa" w:w="100"/>
            </w:tcMar>
            <w:vAlign w:val="center"/>
          </w:tcPr>
          <w:p>
            <w:r>
              <w:rPr>
                <w:rFonts w:ascii="Calibri" w:cs="Calibri" w:eastAsia="Calibri" w:hAnsi="Calibri"/>
                <w:b w:val="false"/>
                <w:bCs w:val="false"/>
                <w:color w:val="1E293B"/>
                <w:sz w:val="19"/>
                <w:szCs w:val="19"/>
              </w:rPr>
              <w:t xml:space="preserve">Bentuk laporan berkala komite kepada Direktur — merupakan tugas komite namun formatnya belum tersedia.</w:t>
            </w:r>
          </w:p>
        </w:tc>
        <w:tc>
          <w:tcPr>
            <w:tcW w:type="dxa" w:w="1600"/>
            <w:tcBorders>
              <w:top w:val="single" w:color="E2E8F0" w:sz="4"/>
              <w:left w:val="single" w:color="E2E8F0" w:sz="4"/>
              <w:bottom w:val="single" w:color="E2E8F0" w:sz="4"/>
              <w:right w:val="single" w:color="E2E8F0" w:sz="4"/>
            </w:tcBorders>
            <w:shd w:fill="FEF3C7" w:color="FEF3C7" w:val="clear"/>
            <w:tcMar>
              <w:top w:type="dxa" w:w="80"/>
              <w:left w:type="dxa" w:w="100"/>
              <w:bottom w:type="dxa" w:w="80"/>
              <w:right w:type="dxa" w:w="100"/>
            </w:tcMar>
            <w:vAlign w:val="center"/>
          </w:tcPr>
          <w:p>
            <w:pPr>
              <w:jc w:val="center"/>
            </w:pPr>
            <w:r>
              <w:rPr>
                <w:rFonts w:ascii="Calibri" w:cs="Calibri" w:eastAsia="Calibri" w:hAnsi="Calibri"/>
                <w:b/>
                <w:bCs/>
                <w:color w:val="92400E"/>
                <w:sz w:val="17"/>
                <w:szCs w:val="17"/>
              </w:rPr>
              <w:t xml:space="preserve">Perlu Disusun</w:t>
            </w:r>
          </w:p>
        </w:tc>
      </w:tr>
    </w:tbl>
    <w:p>
      <w:pPr>
        <w:pStyle w:val="Heading2"/>
        <w:spacing w:after="120" w:before="260"/>
      </w:pPr>
      <w:r>
        <w:rPr>
          <w:rFonts w:ascii="Calibri" w:cs="Calibri" w:eastAsia="Calibri" w:hAnsi="Calibri"/>
          <w:b/>
          <w:bCs/>
          <w:color w:val="312E81"/>
          <w:sz w:val="21"/>
          <w:szCs w:val="21"/>
        </w:rPr>
        <w:t xml:space="preserve">Cara Pakai</w:t>
      </w:r>
    </w:p>
    <w:p>
      <w:pPr>
        <w:spacing w:after="100"/>
        <w:ind w:left="360"/>
      </w:pPr>
      <w:r>
        <w:rPr>
          <w:rFonts w:ascii="Calibri" w:cs="Calibri" w:eastAsia="Calibri" w:hAnsi="Calibri"/>
          <w:b/>
          <w:bCs/>
          <w:color w:val="4338CA"/>
          <w:sz w:val="19"/>
          <w:szCs w:val="19"/>
        </w:rPr>
        <w:t xml:space="preserve">1.  </w:t>
      </w:r>
      <w:r>
        <w:rPr>
          <w:rFonts w:ascii="Calibri" w:cs="Calibri" w:eastAsia="Calibri" w:hAnsi="Calibri"/>
          <w:color w:val="1E293B"/>
          <w:sz w:val="19"/>
          <w:szCs w:val="19"/>
        </w:rPr>
        <w:t xml:space="preserve">Dokumen bernomor 1 (Pedoman Pengelolaan Kode Etik RS) berstatus Sudah Direvisi dan dilampirkan dalam paket ini dengan nama berkas: 01_Pedoman_Pengelolaan_Kode_Etik_REVISI.docx.</w:t>
      </w:r>
    </w:p>
    <w:p>
      <w:pPr>
        <w:spacing w:after="100"/>
        <w:ind w:left="360"/>
      </w:pPr>
      <w:r>
        <w:rPr>
          <w:rFonts w:ascii="Calibri" w:cs="Calibri" w:eastAsia="Calibri" w:hAnsi="Calibri"/>
          <w:b/>
          <w:bCs/>
          <w:color w:val="4338CA"/>
          <w:sz w:val="19"/>
          <w:szCs w:val="19"/>
        </w:rPr>
        <w:t xml:space="preserve">2.  </w:t>
      </w:r>
      <w:r>
        <w:rPr>
          <w:rFonts w:ascii="Calibri" w:cs="Calibri" w:eastAsia="Calibri" w:hAnsi="Calibri"/>
          <w:color w:val="1E293B"/>
          <w:sz w:val="19"/>
          <w:szCs w:val="19"/>
        </w:rPr>
        <w:t xml:space="preserve">Dokumen bernomor 0 dan 2–8 berstatus Perlu Disusun. Setiap dokumen disiapkan sebagai rancangan awal yang selanjutnya direview, dilengkapi, dan difinalisasi oleh Komite Etik dan Hukum bersama unit terkait di RSIA Mutiara Bunda.</w:t>
      </w:r>
    </w:p>
    <w:p>
      <w:pPr>
        <w:spacing w:after="100"/>
        <w:ind w:left="360"/>
      </w:pPr>
      <w:r>
        <w:rPr>
          <w:rFonts w:ascii="Calibri" w:cs="Calibri" w:eastAsia="Calibri" w:hAnsi="Calibri"/>
          <w:b/>
          <w:bCs/>
          <w:color w:val="4338CA"/>
          <w:sz w:val="19"/>
          <w:szCs w:val="19"/>
        </w:rPr>
        <w:t xml:space="preserve">3.  </w:t>
      </w:r>
      <w:r>
        <w:rPr>
          <w:rFonts w:ascii="Calibri" w:cs="Calibri" w:eastAsia="Calibri" w:hAnsi="Calibri"/>
          <w:color w:val="1E293B"/>
          <w:sz w:val="19"/>
          <w:szCs w:val="19"/>
        </w:rPr>
        <w:t xml:space="preserve">Urutan penyusunan yang disarankan: SK Pembentukan Komite → Pedoman Pengorganisasian → Buku Kode Etik → Program Kerja → Panduan/SPO Pelaporan Pelanggaran → Kumpulan Formulir → Pakta Integritas → Format Laporan Kegiatan.</w:t>
      </w:r>
    </w:p>
    <w:p>
      <w:pPr>
        <w:spacing w:after="100"/>
        <w:ind w:left="360"/>
      </w:pPr>
      <w:r>
        <w:rPr>
          <w:rFonts w:ascii="Calibri" w:cs="Calibri" w:eastAsia="Calibri" w:hAnsi="Calibri"/>
          <w:b/>
          <w:bCs/>
          <w:color w:val="4338CA"/>
          <w:sz w:val="19"/>
          <w:szCs w:val="19"/>
        </w:rPr>
        <w:t xml:space="preserve">4.  </w:t>
      </w:r>
      <w:r>
        <w:rPr>
          <w:rFonts w:ascii="Calibri" w:cs="Calibri" w:eastAsia="Calibri" w:hAnsi="Calibri"/>
          <w:color w:val="1E293B"/>
          <w:sz w:val="19"/>
          <w:szCs w:val="19"/>
        </w:rPr>
        <w:t xml:space="preserve">Setelah difinalisasi, seluruh dokumen wajib disahkan melalui Peraturan/Keputusan Direktur agar mengikat secara formal.</w:t>
      </w:r>
    </w:p>
    <w:p>
      <w:pPr>
        <w:spacing w:after="100"/>
        <w:ind w:left="360"/>
      </w:pPr>
      <w:r>
        <w:rPr>
          <w:rFonts w:ascii="Calibri" w:cs="Calibri" w:eastAsia="Calibri" w:hAnsi="Calibri"/>
          <w:b/>
          <w:bCs/>
          <w:color w:val="4338CA"/>
          <w:sz w:val="19"/>
          <w:szCs w:val="19"/>
        </w:rPr>
        <w:t xml:space="preserve">5.  </w:t>
      </w:r>
      <w:r>
        <w:rPr>
          <w:rFonts w:ascii="Calibri" w:cs="Calibri" w:eastAsia="Calibri" w:hAnsi="Calibri"/>
          <w:color w:val="1E293B"/>
          <w:sz w:val="19"/>
          <w:szCs w:val="19"/>
        </w:rPr>
        <w:t xml:space="preserve">Peta dan seluruh dokumen turunannya ditinjau ulang secara berkala — disarankan minimal setiap 2 (dua) tahun atau segera setelah terbit peraturan turunan Permenkes 6/2026 yang relevan dengan komite etik dan hukum rumah sakit.</w:t>
      </w:r>
    </w:p>
    <w:p>
      <w:pPr>
        <w:spacing w:before="200"/>
      </w:pPr>
      <w:r>
        <w:rPr>
          <w:rFonts w:ascii="Calibri" w:cs="Calibri" w:eastAsia="Calibri" w:hAnsi="Calibri"/>
          <w:i/>
          <w:iCs/>
          <w:color w:val="475569"/>
          <w:sz w:val="17"/>
          <w:szCs w:val="17"/>
        </w:rPr>
        <w:t xml:space="preserve">RSIA Mutiara Bunda — Program Etik Rumah Sakit</w:t>
      </w:r>
    </w:p>
    <w:sectPr>
      <w:headerReference w:type="default" r:id="rId7"/>
      <w:footerReference w:type="default" r:id="rId8"/>
      <w:pgSz w:w="11906" w:h="16838" w:orient="landscape"/>
      <w:pgMar w:top="700" w:right="700" w:bottom="700" w:left="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2E8F0" w:sz="4"/>
      </w:pBdr>
      <w:tabs>
        <w:tab w:val="right" w:pos="9026"/>
      </w:tabs>
    </w:pPr>
    <w:r>
      <w:rPr>
        <w:rFonts w:ascii="Calibri" w:cs="Calibri" w:eastAsia="Calibri" w:hAnsi="Calibri"/>
        <w:color w:val="475569"/>
        <w:sz w:val="15"/>
        <w:szCs w:val="15"/>
      </w:rPr>
      <w:t xml:space="preserve">RSIA Mutiara Bunda — Peta Dokumen Etik RS</w:t>
    </w:r>
    <w:r>
      <w:rPr>
        <w:rFonts w:ascii="Calibri" w:cs="Calibri" w:eastAsia="Calibri" w:hAnsi="Calibri"/>
        <w:color w:val="475569"/>
        <w:sz w:val="15"/>
        <w:szCs w:val="15"/>
      </w:rPr>
      <w:t xml:space="preserve">	Halaman </w:t>
    </w:r>
    <w:r>
      <w:rPr>
        <w:rFonts w:ascii="Calibri" w:cs="Calibri" w:eastAsia="Calibri" w:hAnsi="Calibri"/>
        <w:color w:val="475569"/>
        <w:sz w:val="15"/>
        <w:szCs w:val="15"/>
      </w:rPr>
      <w:fldChar w:fldCharType="begin"/>
      <w:instrText xml:space="preserve">PAGE</w:instrText>
      <w:fldChar w:fldCharType="separate"/>
      <w:fldChar w:fldCharType="end"/>
    </w:r>
    <w:r>
      <w:rPr>
        <w:rFonts w:ascii="Calibri" w:cs="Calibri" w:eastAsia="Calibri" w:hAnsi="Calibri"/>
        <w:color w:val="475569"/>
        <w:sz w:val="15"/>
        <w:szCs w:val="15"/>
      </w:rPr>
      <w:t xml:space="preserve"> dari </w:t>
    </w:r>
    <w:r>
      <w:rPr>
        <w:rFonts w:ascii="Calibri" w:cs="Calibri" w:eastAsia="Calibri" w:hAnsi="Calibri"/>
        <w:color w:val="475569"/>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475569"/>
        <w:sz w:val="15"/>
        <w:szCs w:val="15"/>
      </w:rPr>
      <w:t xml:space="preserve">RSIA Mutiara Bunda — Dokumen Terkendali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2026-08-04T23:25:49.906Z</dcterms:created>
  <dcterms:modified xsi:type="dcterms:W3CDTF">2026-08-04T23:25:49.923Z</dcterms:modified>
</cp:coreProperties>
</file>

<file path=docProps/custom.xml><?xml version="1.0" encoding="utf-8"?>
<Properties xmlns="http://schemas.openxmlformats.org/officeDocument/2006/custom-properties" xmlns:vt="http://schemas.openxmlformats.org/officeDocument/2006/docPropsVTypes"/>
</file>