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jc w:val="center"/>
      </w:pPr>
      <w:r>
        <w:rPr>
          <w:rFonts w:ascii="Calibri" w:cs="Calibri" w:eastAsia="Calibri" w:hAnsi="Calibri"/>
          <w:b/>
          <w:bCs/>
          <w:color w:val="7A1F3D"/>
          <w:sz w:val="28"/>
          <w:szCs w:val="28"/>
        </w:rPr>
        <w:t xml:space="preserve">RSIA MUTIARA BUNDA</w:t>
      </w:r>
    </w:p>
    <w:p>
      <w:pPr>
        <w:spacing w:after="600"/>
        <w:jc w:val="center"/>
      </w:pPr>
      <w:r>
        <w:rPr>
          <w:rFonts w:ascii="Calibri" w:cs="Calibri" w:eastAsia="Calibri" w:hAnsi="Calibri"/>
          <w:color w:val="6B6B6B"/>
          <w:sz w:val="20"/>
          <w:szCs w:val="20"/>
        </w:rPr>
        <w:t xml:space="preserve">Jl. Ciujung No. 19, Malang</w:t>
      </w:r>
    </w:p>
    <w:p>
      <w:pPr>
        <w:spacing w:after="200" w:before="1600"/>
        <w:jc w:val="center"/>
      </w:pPr>
      <w:r>
        <w:rPr>
          <w:rFonts w:ascii="Calibri" w:cs="Calibri" w:eastAsia="Calibri" w:hAnsi="Calibri"/>
          <w:b/>
          <w:bCs/>
          <w:color w:val="B0305C"/>
          <w:sz w:val="24"/>
          <w:szCs w:val="24"/>
        </w:rPr>
        <w:t xml:space="preserve">DOKUMEN 2</w:t>
      </w:r>
    </w:p>
    <w:p>
      <w:pPr>
        <w:pBdr>
          <w:bottom w:val="single" w:color="B0305C" w:sz="12" w:space="8"/>
        </w:pBdr>
        <w:spacing w:after="200"/>
        <w:jc w:val="center"/>
      </w:pPr>
      <w:r>
        <w:rPr>
          <w:rFonts w:ascii="Calibri" w:cs="Calibri" w:eastAsia="Calibri" w:hAnsi="Calibri"/>
          <w:b/>
          <w:bCs/>
          <w:color w:val="222222"/>
          <w:sz w:val="40"/>
          <w:szCs w:val="40"/>
        </w:rPr>
        <w:t xml:space="preserve">Pedoman Pengorganisasian Komite Etik dan Hukum Rumah Sakit (KEHRS)</w:t>
      </w:r>
    </w:p>
    <w:p>
      <w:pPr>
        <w:spacing w:after="1600" w:before="200"/>
        <w:jc w:val="center"/>
      </w:pPr>
      <w:r>
        <w:rPr>
          <w:rFonts w:ascii="Calibri" w:cs="Calibri" w:eastAsia="Calibri" w:hAnsi="Calibri"/>
          <w:i/>
          <w:iCs/>
          <w:color w:val="6B6B6B"/>
          <w:sz w:val="20"/>
          <w:szCs w:val="20"/>
        </w:rPr>
        <w:t xml:space="preserve">Nomor: __/PED-ORG/KEHRS/RSIA-MB/2026</w:t>
      </w:r>
    </w:p>
    <w:p>
      <w:pPr>
        <w:spacing w:before="2000"/>
        <w:jc w:val="center"/>
      </w:pPr>
      <w:r>
        <w:rPr>
          <w:rFonts w:ascii="Calibri" w:cs="Calibri" w:eastAsia="Calibri" w:hAnsi="Calibri"/>
          <w:color w:val="6B6B6B"/>
          <w:sz w:val="18"/>
          <w:szCs w:val="18"/>
        </w:rPr>
        <w:t xml:space="preserve">RSIA Mutiara Bunda</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 — PENDAHULUAN</w:t>
      </w:r>
    </w:p>
    <w:p>
      <w:pPr>
        <w:pStyle w:val="Heading2"/>
        <w:spacing w:after="140" w:before="280"/>
      </w:pPr>
      <w:r>
        <w:rPr>
          <w:rFonts w:ascii="Calibri" w:cs="Calibri" w:eastAsia="Calibri" w:hAnsi="Calibri"/>
          <w:b/>
          <w:bCs/>
          <w:color w:val="B0305C"/>
          <w:sz w:val="24"/>
          <w:szCs w:val="24"/>
        </w:rPr>
        <w:t xml:space="preserve">A. Latar Belakang</w:t>
      </w:r>
    </w:p>
    <w:p>
      <w:pPr>
        <w:spacing w:after="140"/>
        <w:jc w:val="both"/>
      </w:pPr>
      <w:r>
        <w:rPr>
          <w:rFonts w:ascii="Calibri" w:cs="Calibri" w:eastAsia="Calibri" w:hAnsi="Calibri"/>
          <w:b w:val="false"/>
          <w:bCs w:val="false"/>
          <w:i w:val="false"/>
          <w:iCs w:val="false"/>
          <w:color w:val="222222"/>
          <w:sz w:val="21"/>
          <w:szCs w:val="21"/>
        </w:rPr>
        <w:t xml:space="preserve">Komite Etik dan Hukum Rumah Sakit (KEHRS) merupakan unit nonstruktural yang dibentuk untuk menjamin terselenggaranya tata kelola etik yang efektif di RSIA Mutiara Bunda. Agar KEHRS dapat bekerja secara efisien dan akuntabel, diperlukan pedoman pengorganisasian yang mengatur struktur, uraian tugas, dan tata hubungan kerja secara rinci — melengkapi Pedoman Pengelolaan Kode Etik Rumah Sakit yang mengatur kebijakan dan norma etik.</w:t>
      </w:r>
    </w:p>
    <w:p>
      <w:pPr>
        <w:pStyle w:val="Heading2"/>
        <w:spacing w:after="140" w:before="280"/>
      </w:pPr>
      <w:r>
        <w:rPr>
          <w:rFonts w:ascii="Calibri" w:cs="Calibri" w:eastAsia="Calibri" w:hAnsi="Calibri"/>
          <w:b/>
          <w:bCs/>
          <w:color w:val="B0305C"/>
          <w:sz w:val="24"/>
          <w:szCs w:val="24"/>
        </w:rPr>
        <w:t xml:space="preserve">B. Tujuan</w:t>
      </w:r>
    </w:p>
    <w:p>
      <w:pPr>
        <w:spacing w:after="140"/>
        <w:jc w:val="both"/>
      </w:pPr>
      <w:r>
        <w:rPr>
          <w:rFonts w:ascii="Calibri" w:cs="Calibri" w:eastAsia="Calibri" w:hAnsi="Calibri"/>
          <w:b w:val="false"/>
          <w:bCs w:val="false"/>
          <w:i w:val="false"/>
          <w:iCs w:val="false"/>
          <w:color w:val="222222"/>
          <w:sz w:val="21"/>
          <w:szCs w:val="21"/>
        </w:rPr>
        <w:t xml:space="preserve">Menjadi acuan struktur organisasi, uraian tugas, tata hubungan kerja, dan pola ketenagaan KEHRS agar pelaksanaan tugas berjalan tertib, terkoordinasi, dan dapat dipertanggungjawabkan.</w:t>
      </w:r>
    </w:p>
    <w:p>
      <w:pPr>
        <w:pStyle w:val="Heading2"/>
        <w:spacing w:after="140" w:before="280"/>
      </w:pPr>
      <w:r>
        <w:rPr>
          <w:rFonts w:ascii="Calibri" w:cs="Calibri" w:eastAsia="Calibri" w:hAnsi="Calibri"/>
          <w:b/>
          <w:bCs/>
          <w:color w:val="B0305C"/>
          <w:sz w:val="24"/>
          <w:szCs w:val="24"/>
        </w:rPr>
        <w:t xml:space="preserve">C. Dasar Hukum</w:t>
      </w:r>
    </w:p>
    <w:p>
      <w:pPr>
        <w:pStyle w:val="ListParagraph"/>
        <w:numPr>
          <w:ilvl w:val="0"/>
          <w:numId w:val="2"/>
        </w:numPr>
        <w:spacing w:after="80"/>
        <w:jc w:val="both"/>
      </w:pPr>
      <w:r>
        <w:rPr>
          <w:rFonts w:ascii="Calibri" w:cs="Calibri" w:eastAsia="Calibri" w:hAnsi="Calibri"/>
          <w:color w:val="222222"/>
          <w:sz w:val="21"/>
          <w:szCs w:val="21"/>
        </w:rPr>
        <w:t xml:space="preserve">Undang-Undang Nomor 17 Tahun 2023 tentang Kesehatan.</w:t>
      </w:r>
    </w:p>
    <w:p>
      <w:pPr>
        <w:pStyle w:val="ListParagraph"/>
        <w:numPr>
          <w:ilvl w:val="0"/>
          <w:numId w:val="2"/>
        </w:numPr>
        <w:spacing w:after="80"/>
        <w:jc w:val="both"/>
      </w:pPr>
      <w:r>
        <w:rPr>
          <w:rFonts w:ascii="Calibri" w:cs="Calibri" w:eastAsia="Calibri" w:hAnsi="Calibri"/>
          <w:color w:val="222222"/>
          <w:sz w:val="21"/>
          <w:szCs w:val="21"/>
        </w:rPr>
        <w:t xml:space="preserve">Peraturan Pemerintah Nomor 28 Tahun 2024 tentang Peraturan Pelaksanaan Undang-Undang Nomor 17 Tahun 2023 tentang Kesehatan.</w:t>
      </w:r>
    </w:p>
    <w:p>
      <w:pPr>
        <w:pStyle w:val="ListParagraph"/>
        <w:numPr>
          <w:ilvl w:val="0"/>
          <w:numId w:val="2"/>
        </w:numPr>
        <w:spacing w:after="80"/>
        <w:jc w:val="both"/>
      </w:pPr>
      <w:r>
        <w:rPr>
          <w:rFonts w:ascii="Calibri" w:cs="Calibri" w:eastAsia="Calibri" w:hAnsi="Calibri"/>
          <w:color w:val="222222"/>
          <w:sz w:val="21"/>
          <w:szCs w:val="21"/>
        </w:rPr>
        <w:t xml:space="preserve">Peraturan Menteri Kesehatan Nomor 6 Tahun 2026 tentang Rumah Sakit.</w:t>
      </w:r>
    </w:p>
    <w:p>
      <w:pPr>
        <w:pStyle w:val="ListParagraph"/>
        <w:numPr>
          <w:ilvl w:val="0"/>
          <w:numId w:val="2"/>
        </w:numPr>
        <w:spacing w:after="80"/>
        <w:jc w:val="both"/>
      </w:pPr>
      <w:r>
        <w:rPr>
          <w:rFonts w:ascii="Calibri" w:cs="Calibri" w:eastAsia="Calibri" w:hAnsi="Calibri"/>
          <w:color w:val="222222"/>
          <w:sz w:val="21"/>
          <w:szCs w:val="21"/>
        </w:rPr>
        <w:t xml:space="preserve">Peraturan Menteri Kesehatan Nomor 42 Tahun 2018 tentang Komite Etik dan Hukum Rumah Sakit.</w:t>
      </w:r>
    </w:p>
    <w:p>
      <w:pPr>
        <w:pStyle w:val="ListParagraph"/>
        <w:numPr>
          <w:ilvl w:val="0"/>
          <w:numId w:val="2"/>
        </w:numPr>
        <w:spacing w:after="80"/>
        <w:jc w:val="both"/>
      </w:pPr>
      <w:r>
        <w:rPr>
          <w:rFonts w:ascii="Calibri" w:cs="Calibri" w:eastAsia="Calibri" w:hAnsi="Calibri"/>
          <w:color w:val="222222"/>
          <w:sz w:val="21"/>
          <w:szCs w:val="21"/>
        </w:rPr>
        <w:t xml:space="preserve">Pedoman Pengelolaan Kode Etik Rumah Sakit RSIA Mutiara Bunda.</w:t>
      </w:r>
    </w:p>
    <w:p>
      <w:pPr>
        <w:pStyle w:val="ListParagraph"/>
        <w:numPr>
          <w:ilvl w:val="0"/>
          <w:numId w:val="2"/>
        </w:numPr>
        <w:spacing w:after="80"/>
        <w:jc w:val="both"/>
      </w:pPr>
      <w:r>
        <w:rPr>
          <w:rFonts w:ascii="Calibri" w:cs="Calibri" w:eastAsia="Calibri" w:hAnsi="Calibri"/>
          <w:color w:val="222222"/>
          <w:sz w:val="21"/>
          <w:szCs w:val="21"/>
        </w:rPr>
        <w:t xml:space="preserve">Keputusan Direktur tentang Pembentukan dan Susunan Personalia KEHRS.</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II — GAMBARAN UMUM RSIA MUTIARA BUNDA</w:t>
      </w:r>
    </w:p>
    <w:p>
      <w:pPr>
        <w:spacing w:after="140"/>
        <w:jc w:val="both"/>
      </w:pPr>
      <w:r>
        <w:rPr>
          <w:rFonts w:ascii="Calibri" w:cs="Calibri" w:eastAsia="Calibri" w:hAnsi="Calibri"/>
          <w:b w:val="false"/>
          <w:bCs w:val="false"/>
          <w:i w:val="false"/>
          <w:iCs w:val="false"/>
          <w:color w:val="222222"/>
          <w:sz w:val="21"/>
          <w:szCs w:val="21"/>
        </w:rPr>
        <w:t xml:space="preserve">RSIA Mutiara Bunda adalah rumah sakit khusus ibu dan anak yang berlokasi di Jl. Ciujung No. 19, Malang, menyelenggarakan pelayanan kesehatan ibu, bayi, dan anak secara paripurna dengan mengutamakan mutu, keselamatan pasien, dan kenyamanan keluarga.</w:t>
      </w:r>
    </w:p>
    <w:p>
      <w:pPr>
        <w:spacing w:after="100" w:before="200"/>
      </w:pPr>
      <w:r>
        <w:rPr>
          <w:rFonts w:ascii="Calibri" w:cs="Calibri" w:eastAsia="Calibri" w:hAnsi="Calibri"/>
          <w:b/>
          <w:bCs/>
          <w:color w:val="222222"/>
          <w:sz w:val="22"/>
          <w:szCs w:val="22"/>
        </w:rPr>
        <w:t xml:space="preserve">Visi (contoh — agar disesuaikan Direktur)</w:t>
      </w:r>
    </w:p>
    <w:p>
      <w:pPr>
        <w:spacing w:after="140"/>
        <w:jc w:val="both"/>
      </w:pPr>
      <w:r>
        <w:rPr>
          <w:rFonts w:ascii="Calibri" w:cs="Calibri" w:eastAsia="Calibri" w:hAnsi="Calibri"/>
          <w:b w:val="false"/>
          <w:bCs w:val="false"/>
          <w:i w:val="false"/>
          <w:iCs w:val="false"/>
          <w:color w:val="222222"/>
          <w:sz w:val="21"/>
          <w:szCs w:val="21"/>
        </w:rPr>
        <w:t xml:space="preserve">Menjadi rumah sakit ibu dan anak pilihan utama masyarakat Malang Raya yang unggul dalam pelayanan, aman, dan berbasis kasih sayang.</w:t>
      </w:r>
    </w:p>
    <w:p>
      <w:pPr>
        <w:spacing w:after="100" w:before="200"/>
      </w:pPr>
      <w:r>
        <w:rPr>
          <w:rFonts w:ascii="Calibri" w:cs="Calibri" w:eastAsia="Calibri" w:hAnsi="Calibri"/>
          <w:b/>
          <w:bCs/>
          <w:color w:val="222222"/>
          <w:sz w:val="22"/>
          <w:szCs w:val="22"/>
        </w:rPr>
        <w:t xml:space="preserve">Misi (contoh — agar disesuaikan Direktur)</w:t>
      </w:r>
    </w:p>
    <w:p>
      <w:pPr>
        <w:pStyle w:val="ListParagraph"/>
        <w:numPr>
          <w:ilvl w:val="0"/>
          <w:numId w:val="2"/>
        </w:numPr>
        <w:spacing w:after="80"/>
        <w:jc w:val="both"/>
      </w:pPr>
      <w:r>
        <w:rPr>
          <w:rFonts w:ascii="Calibri" w:cs="Calibri" w:eastAsia="Calibri" w:hAnsi="Calibri"/>
          <w:color w:val="222222"/>
          <w:sz w:val="21"/>
          <w:szCs w:val="21"/>
        </w:rPr>
        <w:t xml:space="preserve">Menyelenggarakan pelayanan kesehatan ibu dan anak yang bermutu, aman, dan berorientasi keselamatan pasien.</w:t>
      </w:r>
    </w:p>
    <w:p>
      <w:pPr>
        <w:pStyle w:val="ListParagraph"/>
        <w:numPr>
          <w:ilvl w:val="0"/>
          <w:numId w:val="2"/>
        </w:numPr>
        <w:spacing w:after="80"/>
        <w:jc w:val="both"/>
      </w:pPr>
      <w:r>
        <w:rPr>
          <w:rFonts w:ascii="Calibri" w:cs="Calibri" w:eastAsia="Calibri" w:hAnsi="Calibri"/>
          <w:color w:val="222222"/>
          <w:sz w:val="21"/>
          <w:szCs w:val="21"/>
        </w:rPr>
        <w:t xml:space="preserve">Mengembangkan sumber daya manusia yang profesional dan berintegritas.</w:t>
      </w:r>
    </w:p>
    <w:p>
      <w:pPr>
        <w:pStyle w:val="ListParagraph"/>
        <w:numPr>
          <w:ilvl w:val="0"/>
          <w:numId w:val="2"/>
        </w:numPr>
        <w:spacing w:after="80"/>
        <w:jc w:val="both"/>
      </w:pPr>
      <w:r>
        <w:rPr>
          <w:rFonts w:ascii="Calibri" w:cs="Calibri" w:eastAsia="Calibri" w:hAnsi="Calibri"/>
          <w:color w:val="222222"/>
          <w:sz w:val="21"/>
          <w:szCs w:val="21"/>
        </w:rPr>
        <w:t xml:space="preserve">Membangun budaya kerja yang etis dan berfokus pada pasien serta keluarga.</w:t>
      </w:r>
    </w:p>
    <w:tbl>
      <w:tblPr>
        <w:tblW w:type="pct" w:w="100%"/>
        <w:tblBorders>
          <w:top w:val="single" w:color="B0305C" w:sz="4"/>
          <w:left w:val="single" w:color="B0305C" w:sz="4"/>
          <w:bottom w:val="single" w:color="B0305C" w:sz="4"/>
          <w:right w:val="single" w:color="B0305C" w:sz="4"/>
          <w:insideH w:val="none"/>
          <w:insideV w:val="none"/>
        </w:tblBorders>
      </w:tblPr>
      <w:tblGrid>
        <w:gridCol w:w="100"/>
      </w:tblGrid>
      <w:tr>
        <w:tc>
          <w:tcPr>
            <w:shd w:fill="FBEAF0" w:val="clear"/>
            <w:tcMar>
              <w:top w:type="dxa" w:w="150"/>
              <w:left w:type="dxa" w:w="200"/>
              <w:bottom w:type="dxa" w:w="150"/>
              <w:right w:type="dxa" w:w="200"/>
            </w:tcMar>
          </w:tcPr>
          <w:p>
            <w:pPr>
              <w:spacing w:after="100"/>
            </w:pPr>
            <w:r>
              <w:rPr>
                <w:rFonts w:ascii="Calibri" w:cs="Calibri" w:eastAsia="Calibri" w:hAnsi="Calibri"/>
                <w:b/>
                <w:bCs/>
                <w:color w:val="7A1F3D"/>
                <w:sz w:val="21"/>
                <w:szCs w:val="21"/>
              </w:rPr>
              <w:t xml:space="preserve">Catatan</w:t>
            </w:r>
          </w:p>
          <w:p>
            <w:pPr>
              <w:spacing w:after="60"/>
            </w:pPr>
            <w:r>
              <w:rPr>
                <w:rFonts w:ascii="Calibri" w:cs="Calibri" w:eastAsia="Calibri" w:hAnsi="Calibri"/>
                <w:color w:val="222222"/>
                <w:sz w:val="20"/>
                <w:szCs w:val="20"/>
              </w:rPr>
              <w:t xml:space="preserve">• Bagian visi-misi ini adalah draf wajar untuk RSIA; mohon disesuaikan dengan visi-misi resmi RSIA Mutiara Bunda yang sudah ditetapkan Direktur, bila berbeda.</w:t>
            </w:r>
          </w:p>
        </w:tc>
      </w:tr>
    </w:tbl>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III — VISI, MISI, FALSAFAH, NILAI, DAN TUJUAN KEHRS</w:t>
      </w:r>
    </w:p>
    <w:p>
      <w:pPr>
        <w:pStyle w:val="Heading2"/>
        <w:spacing w:after="140" w:before="280"/>
      </w:pPr>
      <w:r>
        <w:rPr>
          <w:rFonts w:ascii="Calibri" w:cs="Calibri" w:eastAsia="Calibri" w:hAnsi="Calibri"/>
          <w:b/>
          <w:bCs/>
          <w:color w:val="B0305C"/>
          <w:sz w:val="24"/>
          <w:szCs w:val="24"/>
        </w:rPr>
        <w:t xml:space="preserve">A. Falsafah</w:t>
      </w:r>
    </w:p>
    <w:p>
      <w:pPr>
        <w:spacing w:after="140"/>
        <w:jc w:val="both"/>
      </w:pPr>
      <w:r>
        <w:rPr>
          <w:rFonts w:ascii="Calibri" w:cs="Calibri" w:eastAsia="Calibri" w:hAnsi="Calibri"/>
          <w:b w:val="false"/>
          <w:bCs w:val="false"/>
          <w:i w:val="false"/>
          <w:iCs w:val="false"/>
          <w:color w:val="222222"/>
          <w:sz w:val="21"/>
          <w:szCs w:val="21"/>
        </w:rPr>
        <w:t xml:space="preserve">Etika adalah fondasi mutu pelayanan — pelayanan yang aman dan bermutu tidak dapat dipisahkan dari perilaku yang berintegritas, jujur, dan menghormati martabat manusia.</w:t>
      </w:r>
    </w:p>
    <w:p>
      <w:pPr>
        <w:pStyle w:val="Heading2"/>
        <w:spacing w:after="140" w:before="280"/>
      </w:pPr>
      <w:r>
        <w:rPr>
          <w:rFonts w:ascii="Calibri" w:cs="Calibri" w:eastAsia="Calibri" w:hAnsi="Calibri"/>
          <w:b/>
          <w:bCs/>
          <w:color w:val="B0305C"/>
          <w:sz w:val="24"/>
          <w:szCs w:val="24"/>
        </w:rPr>
        <w:t xml:space="preserve">B. Nilai</w:t>
      </w:r>
    </w:p>
    <w:p>
      <w:pPr>
        <w:pStyle w:val="ListParagraph"/>
        <w:numPr>
          <w:ilvl w:val="0"/>
          <w:numId w:val="1"/>
        </w:numPr>
        <w:spacing w:after="80"/>
        <w:jc w:val="both"/>
      </w:pPr>
      <w:r>
        <w:rPr>
          <w:rFonts w:ascii="Calibri" w:cs="Calibri" w:eastAsia="Calibri" w:hAnsi="Calibri"/>
          <w:color w:val="222222"/>
          <w:sz w:val="21"/>
          <w:szCs w:val="21"/>
        </w:rPr>
        <w:t xml:space="preserve">Integritas</w:t>
      </w:r>
    </w:p>
    <w:p>
      <w:pPr>
        <w:pStyle w:val="ListParagraph"/>
        <w:numPr>
          <w:ilvl w:val="0"/>
          <w:numId w:val="1"/>
        </w:numPr>
        <w:spacing w:after="80"/>
        <w:jc w:val="both"/>
      </w:pPr>
      <w:r>
        <w:rPr>
          <w:rFonts w:ascii="Calibri" w:cs="Calibri" w:eastAsia="Calibri" w:hAnsi="Calibri"/>
          <w:color w:val="222222"/>
          <w:sz w:val="21"/>
          <w:szCs w:val="21"/>
        </w:rPr>
        <w:t xml:space="preserve">Profesionalisme</w:t>
      </w:r>
    </w:p>
    <w:p>
      <w:pPr>
        <w:pStyle w:val="ListParagraph"/>
        <w:numPr>
          <w:ilvl w:val="0"/>
          <w:numId w:val="1"/>
        </w:numPr>
        <w:spacing w:after="80"/>
        <w:jc w:val="both"/>
      </w:pPr>
      <w:r>
        <w:rPr>
          <w:rFonts w:ascii="Calibri" w:cs="Calibri" w:eastAsia="Calibri" w:hAnsi="Calibri"/>
          <w:color w:val="222222"/>
          <w:sz w:val="21"/>
          <w:szCs w:val="21"/>
        </w:rPr>
        <w:t xml:space="preserve">Empati</w:t>
      </w:r>
    </w:p>
    <w:p>
      <w:pPr>
        <w:pStyle w:val="ListParagraph"/>
        <w:numPr>
          <w:ilvl w:val="0"/>
          <w:numId w:val="1"/>
        </w:numPr>
        <w:spacing w:after="80"/>
        <w:jc w:val="both"/>
      </w:pPr>
      <w:r>
        <w:rPr>
          <w:rFonts w:ascii="Calibri" w:cs="Calibri" w:eastAsia="Calibri" w:hAnsi="Calibri"/>
          <w:color w:val="222222"/>
          <w:sz w:val="21"/>
          <w:szCs w:val="21"/>
        </w:rPr>
        <w:t xml:space="preserve">Akuntabilitas</w:t>
      </w:r>
    </w:p>
    <w:p>
      <w:pPr>
        <w:pStyle w:val="ListParagraph"/>
        <w:numPr>
          <w:ilvl w:val="0"/>
          <w:numId w:val="1"/>
        </w:numPr>
        <w:spacing w:after="80"/>
        <w:jc w:val="both"/>
      </w:pPr>
      <w:r>
        <w:rPr>
          <w:rFonts w:ascii="Calibri" w:cs="Calibri" w:eastAsia="Calibri" w:hAnsi="Calibri"/>
          <w:color w:val="222222"/>
          <w:sz w:val="21"/>
          <w:szCs w:val="21"/>
        </w:rPr>
        <w:t xml:space="preserve">Kerja Sama</w:t>
      </w:r>
    </w:p>
    <w:p>
      <w:pPr>
        <w:pStyle w:val="ListParagraph"/>
        <w:numPr>
          <w:ilvl w:val="0"/>
          <w:numId w:val="1"/>
        </w:numPr>
        <w:spacing w:after="80"/>
        <w:jc w:val="both"/>
      </w:pPr>
      <w:r>
        <w:rPr>
          <w:rFonts w:ascii="Calibri" w:cs="Calibri" w:eastAsia="Calibri" w:hAnsi="Calibri"/>
          <w:color w:val="222222"/>
          <w:sz w:val="21"/>
          <w:szCs w:val="21"/>
        </w:rPr>
        <w:t xml:space="preserve">Keselamatan Pasien</w:t>
      </w:r>
    </w:p>
    <w:p>
      <w:pPr>
        <w:pStyle w:val="Heading2"/>
        <w:spacing w:after="140" w:before="280"/>
      </w:pPr>
      <w:r>
        <w:rPr>
          <w:rFonts w:ascii="Calibri" w:cs="Calibri" w:eastAsia="Calibri" w:hAnsi="Calibri"/>
          <w:b/>
          <w:bCs/>
          <w:color w:val="B0305C"/>
          <w:sz w:val="24"/>
          <w:szCs w:val="24"/>
        </w:rPr>
        <w:t xml:space="preserve">C. Tujuan KEHRS</w:t>
      </w:r>
    </w:p>
    <w:p>
      <w:pPr>
        <w:spacing w:after="140"/>
        <w:jc w:val="both"/>
      </w:pPr>
      <w:r>
        <w:rPr>
          <w:rFonts w:ascii="Calibri" w:cs="Calibri" w:eastAsia="Calibri" w:hAnsi="Calibri"/>
          <w:b w:val="false"/>
          <w:bCs w:val="false"/>
          <w:i w:val="false"/>
          <w:iCs w:val="false"/>
          <w:color w:val="222222"/>
          <w:sz w:val="21"/>
          <w:szCs w:val="21"/>
        </w:rPr>
        <w:t xml:space="preserve">Menjamin terselenggaranya tata kelola etik rumah sakit yang efektif melalui penyusunan kebijakan, sosialisasi, konsultasi, penanganan pelanggaran, pembinaan, serta monitoring dan evaluasi budaya etik.</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IV — STRUKTUR ORGANISASI KEHRS</w:t>
      </w:r>
    </w:p>
    <w:p>
      <w:pPr>
        <w:spacing w:after="140"/>
        <w:jc w:val="both"/>
      </w:pPr>
      <w:r>
        <w:rPr>
          <w:rFonts w:ascii="Calibri" w:cs="Calibri" w:eastAsia="Calibri" w:hAnsi="Calibri"/>
          <w:b w:val="false"/>
          <w:bCs w:val="false"/>
          <w:i w:val="false"/>
          <w:iCs w:val="false"/>
          <w:color w:val="222222"/>
          <w:sz w:val="21"/>
          <w:szCs w:val="21"/>
        </w:rPr>
        <w:t xml:space="preserve">KEHRS berkedudukan sebagai unit nonstruktural yang langsung berada di bawah dan bertanggung jawab kepada Direktur, sejajar dengan komite-komite lain (Komite Medik, Komite Keperawatan, Komite Mutu). Struktur organisasi digambarkan sebagai berikut (deskripsi bagan):</w:t>
      </w:r>
    </w:p>
    <w:tbl>
      <w:tblPr>
        <w:tblW w:type="pct" w:w="100%"/>
        <w:tblBorders>
          <w:top w:val="single" w:color="B0305C" w:sz="4"/>
          <w:left w:val="single" w:color="B0305C" w:sz="4"/>
          <w:bottom w:val="single" w:color="B0305C" w:sz="4"/>
          <w:right w:val="single" w:color="B0305C" w:sz="4"/>
          <w:insideH w:val="none"/>
          <w:insideV w:val="none"/>
        </w:tblBorders>
      </w:tblPr>
      <w:tblGrid>
        <w:gridCol w:w="100"/>
      </w:tblGrid>
      <w:tr>
        <w:tc>
          <w:tcPr>
            <w:shd w:fill="FBEAF0" w:val="clear"/>
            <w:tcMar>
              <w:top w:type="dxa" w:w="150"/>
              <w:left w:type="dxa" w:w="200"/>
              <w:bottom w:type="dxa" w:w="150"/>
              <w:right w:type="dxa" w:w="200"/>
            </w:tcMar>
          </w:tcPr>
          <w:p>
            <w:pPr>
              <w:spacing w:after="100"/>
            </w:pPr>
            <w:r>
              <w:rPr>
                <w:rFonts w:ascii="Calibri" w:cs="Calibri" w:eastAsia="Calibri" w:hAnsi="Calibri"/>
                <w:b/>
                <w:bCs/>
                <w:color w:val="7A1F3D"/>
                <w:sz w:val="21"/>
                <w:szCs w:val="21"/>
              </w:rPr>
              <w:t xml:space="preserve">Bagan Struktur (deskripsi tekstual)</w:t>
            </w:r>
          </w:p>
          <w:p>
            <w:pPr>
              <w:spacing w:after="60"/>
            </w:pPr>
            <w:r>
              <w:rPr>
                <w:rFonts w:ascii="Calibri" w:cs="Calibri" w:eastAsia="Calibri" w:hAnsi="Calibri"/>
                <w:color w:val="222222"/>
                <w:sz w:val="20"/>
                <w:szCs w:val="20"/>
              </w:rPr>
              <w:t xml:space="preserve">• Direktur RSIA Mutiara Bunda</w:t>
            </w:r>
          </w:p>
          <w:p>
            <w:pPr>
              <w:spacing w:after="60"/>
            </w:pPr>
            <w:r>
              <w:rPr>
                <w:rFonts w:ascii="Calibri" w:cs="Calibri" w:eastAsia="Calibri" w:hAnsi="Calibri"/>
                <w:color w:val="222222"/>
                <w:sz w:val="20"/>
                <w:szCs w:val="20"/>
              </w:rPr>
              <w:t xml:space="preserve">• → Komite Etik dan Hukum Rumah Sakit (KEHRS)</w:t>
            </w:r>
          </w:p>
          <w:p>
            <w:pPr>
              <w:spacing w:after="60"/>
            </w:pPr>
            <w:r>
              <w:rPr>
                <w:rFonts w:ascii="Calibri" w:cs="Calibri" w:eastAsia="Calibri" w:hAnsi="Calibri"/>
                <w:color w:val="222222"/>
                <w:sz w:val="20"/>
                <w:szCs w:val="20"/>
              </w:rPr>
              <w:t xml:space="preserve">•     → Ketua KEHRS</w:t>
            </w:r>
          </w:p>
          <w:p>
            <w:pPr>
              <w:spacing w:after="60"/>
            </w:pPr>
            <w:r>
              <w:rPr>
                <w:rFonts w:ascii="Calibri" w:cs="Calibri" w:eastAsia="Calibri" w:hAnsi="Calibri"/>
                <w:color w:val="222222"/>
                <w:sz w:val="20"/>
                <w:szCs w:val="20"/>
              </w:rPr>
              <w:t xml:space="preserve">•         → Sekretaris KEHRS</w:t>
            </w:r>
          </w:p>
          <w:p>
            <w:pPr>
              <w:spacing w:after="60"/>
            </w:pPr>
            <w:r>
              <w:rPr>
                <w:rFonts w:ascii="Calibri" w:cs="Calibri" w:eastAsia="Calibri" w:hAnsi="Calibri"/>
                <w:color w:val="222222"/>
                <w:sz w:val="20"/>
                <w:szCs w:val="20"/>
              </w:rPr>
              <w:t xml:space="preserve">•         → Anggota KEHRS (unsur medis, keperawatan, kebidanan, penunjang)</w:t>
            </w:r>
          </w:p>
          <w:p>
            <w:pPr>
              <w:spacing w:after="60"/>
            </w:pPr>
            <w:r>
              <w:rPr>
                <w:rFonts w:ascii="Calibri" w:cs="Calibri" w:eastAsia="Calibri" w:hAnsi="Calibri"/>
                <w:color w:val="222222"/>
                <w:sz w:val="20"/>
                <w:szCs w:val="20"/>
              </w:rPr>
              <w:t xml:space="preserve">• KEHRS berkoordinasi horizontal dengan Komite Medik, Komite Keperawatan, Tim PMKP, dan Unit SDM.</w:t>
            </w:r>
          </w:p>
        </w:tc>
      </w:tr>
    </w:tbl>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V — URAIAN JABATAN</w:t>
      </w:r>
    </w:p>
    <w:p>
      <w:pPr>
        <w:pStyle w:val="Heading2"/>
        <w:spacing w:after="140" w:before="280"/>
      </w:pPr>
      <w:r>
        <w:rPr>
          <w:rFonts w:ascii="Calibri" w:cs="Calibri" w:eastAsia="Calibri" w:hAnsi="Calibri"/>
          <w:b/>
          <w:bCs/>
          <w:color w:val="B0305C"/>
          <w:sz w:val="24"/>
          <w:szCs w:val="24"/>
        </w:rPr>
        <w:t xml:space="preserve">Ketua KEHRS</w:t>
      </w:r>
    </w:p>
    <w:p>
      <w:pPr>
        <w:spacing w:after="100" w:before="200"/>
      </w:pPr>
      <w:r>
        <w:rPr>
          <w:rFonts w:ascii="Calibri" w:cs="Calibri" w:eastAsia="Calibri" w:hAnsi="Calibri"/>
          <w:b/>
          <w:bCs/>
          <w:color w:val="222222"/>
          <w:sz w:val="22"/>
          <w:szCs w:val="22"/>
        </w:rPr>
        <w:t xml:space="preserve">Uraian Tugas</w:t>
      </w:r>
    </w:p>
    <w:p>
      <w:pPr>
        <w:spacing w:after="140"/>
        <w:jc w:val="both"/>
      </w:pPr>
      <w:r>
        <w:rPr>
          <w:rFonts w:ascii="Calibri" w:cs="Calibri" w:eastAsia="Calibri" w:hAnsi="Calibri"/>
          <w:b w:val="false"/>
          <w:bCs w:val="false"/>
          <w:i w:val="false"/>
          <w:iCs w:val="false"/>
          <w:color w:val="222222"/>
          <w:sz w:val="21"/>
          <w:szCs w:val="21"/>
        </w:rPr>
        <w:t xml:space="preserve">Memimpin seluruh kegiatan KEHRS; memimpin rapat dan sidang etik; menandatangani rekomendasi kepada Direktur; mewakili KEHRS dalam koordinasi lintas komite.</w:t>
      </w:r>
    </w:p>
    <w:p>
      <w:pPr>
        <w:spacing w:after="100" w:before="200"/>
      </w:pPr>
      <w:r>
        <w:rPr>
          <w:rFonts w:ascii="Calibri" w:cs="Calibri" w:eastAsia="Calibri" w:hAnsi="Calibri"/>
          <w:b/>
          <w:bCs/>
          <w:color w:val="222222"/>
          <w:sz w:val="22"/>
          <w:szCs w:val="22"/>
        </w:rPr>
        <w:t xml:space="preserve">Tanggung Jawab</w:t>
      </w:r>
    </w:p>
    <w:p>
      <w:pPr>
        <w:spacing w:after="140"/>
        <w:jc w:val="both"/>
      </w:pPr>
      <w:r>
        <w:rPr>
          <w:rFonts w:ascii="Calibri" w:cs="Calibri" w:eastAsia="Calibri" w:hAnsi="Calibri"/>
          <w:b w:val="false"/>
          <w:bCs w:val="false"/>
          <w:i w:val="false"/>
          <w:iCs w:val="false"/>
          <w:color w:val="222222"/>
          <w:sz w:val="21"/>
          <w:szCs w:val="21"/>
        </w:rPr>
        <w:t xml:space="preserve">Bertanggung jawab atas keseluruhan pelaksanaan tugas KEHRS kepada Direktur.</w:t>
      </w:r>
    </w:p>
    <w:p>
      <w:pPr>
        <w:spacing w:after="100" w:before="200"/>
      </w:pPr>
      <w:r>
        <w:rPr>
          <w:rFonts w:ascii="Calibri" w:cs="Calibri" w:eastAsia="Calibri" w:hAnsi="Calibri"/>
          <w:b/>
          <w:bCs/>
          <w:color w:val="222222"/>
          <w:sz w:val="22"/>
          <w:szCs w:val="22"/>
        </w:rPr>
        <w:t xml:space="preserve">Wewenang</w:t>
      </w:r>
    </w:p>
    <w:p>
      <w:pPr>
        <w:spacing w:after="140"/>
        <w:jc w:val="both"/>
      </w:pPr>
      <w:r>
        <w:rPr>
          <w:rFonts w:ascii="Calibri" w:cs="Calibri" w:eastAsia="Calibri" w:hAnsi="Calibri"/>
          <w:b w:val="false"/>
          <w:bCs w:val="false"/>
          <w:i w:val="false"/>
          <w:iCs w:val="false"/>
          <w:color w:val="222222"/>
          <w:sz w:val="21"/>
          <w:szCs w:val="21"/>
        </w:rPr>
        <w:t xml:space="preserve">Mengundang rapat/sidang; menugaskan anggota untuk investigasi; meminta data/dokumen terkait kasus etik.</w:t>
      </w:r>
    </w:p>
    <w:p>
      <w:pPr>
        <w:spacing w:after="100" w:before="200"/>
      </w:pPr>
      <w:r>
        <w:rPr>
          <w:rFonts w:ascii="Calibri" w:cs="Calibri" w:eastAsia="Calibri" w:hAnsi="Calibri"/>
          <w:b/>
          <w:bCs/>
          <w:color w:val="222222"/>
          <w:sz w:val="22"/>
          <w:szCs w:val="22"/>
        </w:rPr>
        <w:t xml:space="preserve">Syarat Jabatan</w:t>
      </w:r>
    </w:p>
    <w:p>
      <w:pPr>
        <w:spacing w:after="140"/>
        <w:jc w:val="both"/>
      </w:pPr>
      <w:r>
        <w:rPr>
          <w:rFonts w:ascii="Calibri" w:cs="Calibri" w:eastAsia="Calibri" w:hAnsi="Calibri"/>
          <w:b w:val="false"/>
          <w:bCs w:val="false"/>
          <w:i w:val="false"/>
          <w:iCs w:val="false"/>
          <w:color w:val="222222"/>
          <w:sz w:val="21"/>
          <w:szCs w:val="21"/>
        </w:rPr>
        <w:t xml:space="preserve">Dokter/tenaga kesehatan senior dengan reputasi baik, memahami etika profesi dan regulasi rumah sakit, diutamakan memiliki pengalaman struktural/organisasi.</w:t>
      </w:r>
    </w:p>
    <w:p>
      <w:pPr>
        <w:pStyle w:val="Heading2"/>
        <w:spacing w:after="140" w:before="280"/>
      </w:pPr>
      <w:r>
        <w:rPr>
          <w:rFonts w:ascii="Calibri" w:cs="Calibri" w:eastAsia="Calibri" w:hAnsi="Calibri"/>
          <w:b/>
          <w:bCs/>
          <w:color w:val="B0305C"/>
          <w:sz w:val="24"/>
          <w:szCs w:val="24"/>
        </w:rPr>
        <w:t xml:space="preserve">Sekretaris KEHRS</w:t>
      </w:r>
    </w:p>
    <w:p>
      <w:pPr>
        <w:spacing w:after="100" w:before="200"/>
      </w:pPr>
      <w:r>
        <w:rPr>
          <w:rFonts w:ascii="Calibri" w:cs="Calibri" w:eastAsia="Calibri" w:hAnsi="Calibri"/>
          <w:b/>
          <w:bCs/>
          <w:color w:val="222222"/>
          <w:sz w:val="22"/>
          <w:szCs w:val="22"/>
        </w:rPr>
        <w:t xml:space="preserve">Uraian Tugas</w:t>
      </w:r>
    </w:p>
    <w:p>
      <w:pPr>
        <w:spacing w:after="140"/>
        <w:jc w:val="both"/>
      </w:pPr>
      <w:r>
        <w:rPr>
          <w:rFonts w:ascii="Calibri" w:cs="Calibri" w:eastAsia="Calibri" w:hAnsi="Calibri"/>
          <w:b w:val="false"/>
          <w:bCs w:val="false"/>
          <w:i w:val="false"/>
          <w:iCs w:val="false"/>
          <w:color w:val="222222"/>
          <w:sz w:val="21"/>
          <w:szCs w:val="21"/>
        </w:rPr>
        <w:t xml:space="preserve">Mengelola administrasi KEHRS (surat-menyurat, register, notulen rapat); menyiapkan bahan rapat dan sidang; mendokumentasikan seluruh kegiatan KEHRS.</w:t>
      </w:r>
    </w:p>
    <w:p>
      <w:pPr>
        <w:spacing w:after="100" w:before="200"/>
      </w:pPr>
      <w:r>
        <w:rPr>
          <w:rFonts w:ascii="Calibri" w:cs="Calibri" w:eastAsia="Calibri" w:hAnsi="Calibri"/>
          <w:b/>
          <w:bCs/>
          <w:color w:val="222222"/>
          <w:sz w:val="22"/>
          <w:szCs w:val="22"/>
        </w:rPr>
        <w:t xml:space="preserve">Tanggung Jawab</w:t>
      </w:r>
    </w:p>
    <w:p>
      <w:pPr>
        <w:spacing w:after="140"/>
        <w:jc w:val="both"/>
      </w:pPr>
      <w:r>
        <w:rPr>
          <w:rFonts w:ascii="Calibri" w:cs="Calibri" w:eastAsia="Calibri" w:hAnsi="Calibri"/>
          <w:b w:val="false"/>
          <w:bCs w:val="false"/>
          <w:i w:val="false"/>
          <w:iCs w:val="false"/>
          <w:color w:val="222222"/>
          <w:sz w:val="21"/>
          <w:szCs w:val="21"/>
        </w:rPr>
        <w:t xml:space="preserve">Bertanggung jawab atas kelengkapan dan keamanan dokumentasi KEHRS.</w:t>
      </w:r>
    </w:p>
    <w:p>
      <w:pPr>
        <w:spacing w:after="100" w:before="200"/>
      </w:pPr>
      <w:r>
        <w:rPr>
          <w:rFonts w:ascii="Calibri" w:cs="Calibri" w:eastAsia="Calibri" w:hAnsi="Calibri"/>
          <w:b/>
          <w:bCs/>
          <w:color w:val="222222"/>
          <w:sz w:val="22"/>
          <w:szCs w:val="22"/>
        </w:rPr>
        <w:t xml:space="preserve">Wewenang</w:t>
      </w:r>
    </w:p>
    <w:p>
      <w:pPr>
        <w:spacing w:after="140"/>
        <w:jc w:val="both"/>
      </w:pPr>
      <w:r>
        <w:rPr>
          <w:rFonts w:ascii="Calibri" w:cs="Calibri" w:eastAsia="Calibri" w:hAnsi="Calibri"/>
          <w:b w:val="false"/>
          <w:bCs w:val="false"/>
          <w:i w:val="false"/>
          <w:iCs w:val="false"/>
          <w:color w:val="222222"/>
          <w:sz w:val="21"/>
          <w:szCs w:val="21"/>
        </w:rPr>
        <w:t xml:space="preserve">Mengakses dan mengelola register serta arsip KEHRS.</w:t>
      </w:r>
    </w:p>
    <w:p>
      <w:pPr>
        <w:spacing w:after="100" w:before="200"/>
      </w:pPr>
      <w:r>
        <w:rPr>
          <w:rFonts w:ascii="Calibri" w:cs="Calibri" w:eastAsia="Calibri" w:hAnsi="Calibri"/>
          <w:b/>
          <w:bCs/>
          <w:color w:val="222222"/>
          <w:sz w:val="22"/>
          <w:szCs w:val="22"/>
        </w:rPr>
        <w:t xml:space="preserve">Syarat Jabatan</w:t>
      </w:r>
    </w:p>
    <w:p>
      <w:pPr>
        <w:spacing w:after="140"/>
        <w:jc w:val="both"/>
      </w:pPr>
      <w:r>
        <w:rPr>
          <w:rFonts w:ascii="Calibri" w:cs="Calibri" w:eastAsia="Calibri" w:hAnsi="Calibri"/>
          <w:b w:val="false"/>
          <w:bCs w:val="false"/>
          <w:i w:val="false"/>
          <w:iCs w:val="false"/>
          <w:color w:val="222222"/>
          <w:sz w:val="21"/>
          <w:szCs w:val="21"/>
        </w:rPr>
        <w:t xml:space="preserve">Tenaga kesehatan/administrasi dengan kemampuan dokumentasi dan komunikasi yang baik.</w:t>
      </w:r>
    </w:p>
    <w:p>
      <w:pPr>
        <w:pStyle w:val="Heading2"/>
        <w:spacing w:after="140" w:before="280"/>
      </w:pPr>
      <w:r>
        <w:rPr>
          <w:rFonts w:ascii="Calibri" w:cs="Calibri" w:eastAsia="Calibri" w:hAnsi="Calibri"/>
          <w:b/>
          <w:bCs/>
          <w:color w:val="B0305C"/>
          <w:sz w:val="24"/>
          <w:szCs w:val="24"/>
        </w:rPr>
        <w:t xml:space="preserve">Anggota KEHRS</w:t>
      </w:r>
    </w:p>
    <w:p>
      <w:pPr>
        <w:spacing w:after="100" w:before="200"/>
      </w:pPr>
      <w:r>
        <w:rPr>
          <w:rFonts w:ascii="Calibri" w:cs="Calibri" w:eastAsia="Calibri" w:hAnsi="Calibri"/>
          <w:b/>
          <w:bCs/>
          <w:color w:val="222222"/>
          <w:sz w:val="22"/>
          <w:szCs w:val="22"/>
        </w:rPr>
        <w:t xml:space="preserve">Uraian Tugas</w:t>
      </w:r>
    </w:p>
    <w:p>
      <w:pPr>
        <w:spacing w:after="140"/>
        <w:jc w:val="both"/>
      </w:pPr>
      <w:r>
        <w:rPr>
          <w:rFonts w:ascii="Calibri" w:cs="Calibri" w:eastAsia="Calibri" w:hAnsi="Calibri"/>
          <w:b w:val="false"/>
          <w:bCs w:val="false"/>
          <w:i w:val="false"/>
          <w:iCs w:val="false"/>
          <w:color w:val="222222"/>
          <w:sz w:val="21"/>
          <w:szCs w:val="21"/>
        </w:rPr>
        <w:t xml:space="preserve">Berpartisipasi dalam rapat, konsultasi, investigasi, dan sidang etik sesuai penugasan Ketua; memberikan masukan sesuai bidang profesi masing-masing.</w:t>
      </w:r>
    </w:p>
    <w:p>
      <w:pPr>
        <w:spacing w:after="100" w:before="200"/>
      </w:pPr>
      <w:r>
        <w:rPr>
          <w:rFonts w:ascii="Calibri" w:cs="Calibri" w:eastAsia="Calibri" w:hAnsi="Calibri"/>
          <w:b/>
          <w:bCs/>
          <w:color w:val="222222"/>
          <w:sz w:val="22"/>
          <w:szCs w:val="22"/>
        </w:rPr>
        <w:t xml:space="preserve">Tanggung Jawab</w:t>
      </w:r>
    </w:p>
    <w:p>
      <w:pPr>
        <w:spacing w:after="140"/>
        <w:jc w:val="both"/>
      </w:pPr>
      <w:r>
        <w:rPr>
          <w:rFonts w:ascii="Calibri" w:cs="Calibri" w:eastAsia="Calibri" w:hAnsi="Calibri"/>
          <w:b w:val="false"/>
          <w:bCs w:val="false"/>
          <w:i w:val="false"/>
          <w:iCs w:val="false"/>
          <w:color w:val="222222"/>
          <w:sz w:val="21"/>
          <w:szCs w:val="21"/>
        </w:rPr>
        <w:t xml:space="preserve">Bertanggung jawab atas objektivitas dan kerahasiaan dalam setiap penugasan.</w:t>
      </w:r>
    </w:p>
    <w:p>
      <w:pPr>
        <w:spacing w:after="100" w:before="200"/>
      </w:pPr>
      <w:r>
        <w:rPr>
          <w:rFonts w:ascii="Calibri" w:cs="Calibri" w:eastAsia="Calibri" w:hAnsi="Calibri"/>
          <w:b/>
          <w:bCs/>
          <w:color w:val="222222"/>
          <w:sz w:val="22"/>
          <w:szCs w:val="22"/>
        </w:rPr>
        <w:t xml:space="preserve">Wewenang</w:t>
      </w:r>
    </w:p>
    <w:p>
      <w:pPr>
        <w:spacing w:after="140"/>
        <w:jc w:val="both"/>
      </w:pPr>
      <w:r>
        <w:rPr>
          <w:rFonts w:ascii="Calibri" w:cs="Calibri" w:eastAsia="Calibri" w:hAnsi="Calibri"/>
          <w:b w:val="false"/>
          <w:bCs w:val="false"/>
          <w:i w:val="false"/>
          <w:iCs w:val="false"/>
          <w:color w:val="222222"/>
          <w:sz w:val="21"/>
          <w:szCs w:val="21"/>
        </w:rPr>
        <w:t xml:space="preserve">Memberikan pendapat profesi dalam pembahasan kasus etik.</w:t>
      </w:r>
    </w:p>
    <w:p>
      <w:pPr>
        <w:spacing w:after="100" w:before="200"/>
      </w:pPr>
      <w:r>
        <w:rPr>
          <w:rFonts w:ascii="Calibri" w:cs="Calibri" w:eastAsia="Calibri" w:hAnsi="Calibri"/>
          <w:b/>
          <w:bCs/>
          <w:color w:val="222222"/>
          <w:sz w:val="22"/>
          <w:szCs w:val="22"/>
        </w:rPr>
        <w:t xml:space="preserve">Syarat Jabatan</w:t>
      </w:r>
    </w:p>
    <w:p>
      <w:pPr>
        <w:spacing w:after="140"/>
        <w:jc w:val="both"/>
      </w:pPr>
      <w:r>
        <w:rPr>
          <w:rFonts w:ascii="Calibri" w:cs="Calibri" w:eastAsia="Calibri" w:hAnsi="Calibri"/>
          <w:b w:val="false"/>
          <w:bCs w:val="false"/>
          <w:i w:val="false"/>
          <w:iCs w:val="false"/>
          <w:color w:val="222222"/>
          <w:sz w:val="21"/>
          <w:szCs w:val="21"/>
        </w:rPr>
        <w:t xml:space="preserve">Mewakili unsur profesi (medis, keperawatan, kebidanan, farmasi, penunjang) dengan pengalaman kerja minimal 3 tahun di RSIA Mutiara Bunda.</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VI — TATA HUBUNGAN KERJA</w:t>
      </w:r>
    </w:p>
    <w:p>
      <w:pPr>
        <w:spacing w:after="140"/>
        <w:jc w:val="both"/>
      </w:pPr>
      <w:r>
        <w:rPr>
          <w:rFonts w:ascii="Calibri" w:cs="Calibri" w:eastAsia="Calibri" w:hAnsi="Calibri"/>
          <w:b w:val="false"/>
          <w:bCs w:val="false"/>
          <w:i w:val="false"/>
          <w:iCs w:val="false"/>
          <w:color w:val="222222"/>
          <w:sz w:val="21"/>
          <w:szCs w:val="21"/>
        </w:rPr>
        <w:t xml:space="preserve">KEHRS menjalin hubungan kerja koordinatif (bukan struktural) dengan unit-unit berikut: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shd w:fill="B0305C" w:val="clear"/>
            <w:tcMar>
              <w:top w:type="dxa" w:w="100"/>
              <w:left w:type="dxa" w:w="100"/>
              <w:bottom w:type="dxa" w:w="100"/>
              <w:right w:type="dxa" w:w="100"/>
            </w:tcMar>
          </w:tcPr>
          <w:p>
            <w:r>
              <w:rPr>
                <w:rFonts w:ascii="Calibri" w:cs="Calibri" w:eastAsia="Calibri" w:hAnsi="Calibri"/>
                <w:b/>
                <w:bCs/>
                <w:color w:val="FFFFFF"/>
                <w:sz w:val="19"/>
                <w:szCs w:val="19"/>
              </w:rPr>
              <w:t xml:space="preserve">Unit</w:t>
            </w:r>
          </w:p>
        </w:tc>
        <w:tc>
          <w:tcPr>
            <w:shd w:fill="B0305C" w:val="clear"/>
            <w:tcMar>
              <w:top w:type="dxa" w:w="100"/>
              <w:left w:type="dxa" w:w="100"/>
              <w:bottom w:type="dxa" w:w="100"/>
              <w:right w:type="dxa" w:w="100"/>
            </w:tcMar>
          </w:tcPr>
          <w:p>
            <w:r>
              <w:rPr>
                <w:rFonts w:ascii="Calibri" w:cs="Calibri" w:eastAsia="Calibri" w:hAnsi="Calibri"/>
                <w:b/>
                <w:bCs/>
                <w:color w:val="FFFFFF"/>
                <w:sz w:val="19"/>
                <w:szCs w:val="19"/>
              </w:rPr>
              <w:t xml:space="preserve">Bentuk Koordinasi</w:t>
            </w:r>
          </w:p>
        </w:tc>
      </w:tr>
      <w:tr>
        <w:tc>
          <w:tcPr>
            <w:tcW w:type="dxa" w:w="2600"/>
            <w:shd w:fill="FFFFFF" w:val="clear"/>
            <w:tcMar>
              <w:top w:type="dxa" w:w="80"/>
              <w:left w:type="dxa" w:w="100"/>
              <w:bottom w:type="dxa" w:w="80"/>
              <w:right w:type="dxa" w:w="100"/>
            </w:tcMar>
          </w:tcPr>
          <w:p>
            <w:r>
              <w:rPr>
                <w:rFonts w:ascii="Calibri" w:cs="Calibri" w:eastAsia="Calibri" w:hAnsi="Calibri"/>
                <w:sz w:val="19"/>
                <w:szCs w:val="19"/>
              </w:rPr>
              <w:t xml:space="preserve">Direksi</w:t>
            </w:r>
          </w:p>
        </w:tc>
        <w:tc>
          <w:tcPr>
            <w:tcW w:type="dxa" w:w="6400"/>
            <w:shd w:fill="FFFFFF" w:val="clear"/>
            <w:tcMar>
              <w:top w:type="dxa" w:w="80"/>
              <w:left w:type="dxa" w:w="100"/>
              <w:bottom w:type="dxa" w:w="80"/>
              <w:right w:type="dxa" w:w="100"/>
            </w:tcMar>
          </w:tcPr>
          <w:p>
            <w:r>
              <w:rPr>
                <w:rFonts w:ascii="Calibri" w:cs="Calibri" w:eastAsia="Calibri" w:hAnsi="Calibri"/>
                <w:sz w:val="19"/>
                <w:szCs w:val="19"/>
              </w:rPr>
              <w:t xml:space="preserve">Pelaporan berkala dan permohonan pengesahan kebijakan/rekomendasi.</w:t>
            </w:r>
          </w:p>
        </w:tc>
      </w:tr>
      <w:tr>
        <w:tc>
          <w:tcPr>
            <w:tcW w:type="dxa" w:w="2600"/>
            <w:shd w:fill="FBEAF0" w:val="clear"/>
            <w:tcMar>
              <w:top w:type="dxa" w:w="80"/>
              <w:left w:type="dxa" w:w="100"/>
              <w:bottom w:type="dxa" w:w="80"/>
              <w:right w:type="dxa" w:w="100"/>
            </w:tcMar>
          </w:tcPr>
          <w:p>
            <w:r>
              <w:rPr>
                <w:rFonts w:ascii="Calibri" w:cs="Calibri" w:eastAsia="Calibri" w:hAnsi="Calibri"/>
                <w:sz w:val="19"/>
                <w:szCs w:val="19"/>
              </w:rPr>
              <w:t xml:space="preserve">Komite Medik</w:t>
            </w:r>
          </w:p>
        </w:tc>
        <w:tc>
          <w:tcPr>
            <w:tcW w:type="dxa" w:w="6400"/>
            <w:shd w:fill="FBEAF0" w:val="clear"/>
            <w:tcMar>
              <w:top w:type="dxa" w:w="80"/>
              <w:left w:type="dxa" w:w="100"/>
              <w:bottom w:type="dxa" w:w="80"/>
              <w:right w:type="dxa" w:w="100"/>
            </w:tcMar>
          </w:tcPr>
          <w:p>
            <w:r>
              <w:rPr>
                <w:rFonts w:ascii="Calibri" w:cs="Calibri" w:eastAsia="Calibri" w:hAnsi="Calibri"/>
                <w:sz w:val="19"/>
                <w:szCs w:val="19"/>
              </w:rPr>
              <w:t xml:space="preserve">Koordinasi kasus etik yang bersinggungan dengan disiplin profesi medis.</w:t>
            </w:r>
          </w:p>
        </w:tc>
      </w:tr>
      <w:tr>
        <w:tc>
          <w:tcPr>
            <w:tcW w:type="dxa" w:w="2600"/>
            <w:shd w:fill="FFFFFF" w:val="clear"/>
            <w:tcMar>
              <w:top w:type="dxa" w:w="80"/>
              <w:left w:type="dxa" w:w="100"/>
              <w:bottom w:type="dxa" w:w="80"/>
              <w:right w:type="dxa" w:w="100"/>
            </w:tcMar>
          </w:tcPr>
          <w:p>
            <w:r>
              <w:rPr>
                <w:rFonts w:ascii="Calibri" w:cs="Calibri" w:eastAsia="Calibri" w:hAnsi="Calibri"/>
                <w:sz w:val="19"/>
                <w:szCs w:val="19"/>
              </w:rPr>
              <w:t xml:space="preserve">Komite Keperawatan</w:t>
            </w:r>
          </w:p>
        </w:tc>
        <w:tc>
          <w:tcPr>
            <w:tcW w:type="dxa" w:w="6400"/>
            <w:shd w:fill="FFFFFF" w:val="clear"/>
            <w:tcMar>
              <w:top w:type="dxa" w:w="80"/>
              <w:left w:type="dxa" w:w="100"/>
              <w:bottom w:type="dxa" w:w="80"/>
              <w:right w:type="dxa" w:w="100"/>
            </w:tcMar>
          </w:tcPr>
          <w:p>
            <w:r>
              <w:rPr>
                <w:rFonts w:ascii="Calibri" w:cs="Calibri" w:eastAsia="Calibri" w:hAnsi="Calibri"/>
                <w:sz w:val="19"/>
                <w:szCs w:val="19"/>
              </w:rPr>
              <w:t xml:space="preserve">Koordinasi kasus etik yang bersinggungan dengan disiplin profesi keperawatan/kebidanan.</w:t>
            </w:r>
          </w:p>
        </w:tc>
      </w:tr>
      <w:tr>
        <w:tc>
          <w:tcPr>
            <w:tcW w:type="dxa" w:w="2600"/>
            <w:shd w:fill="FBEAF0" w:val="clear"/>
            <w:tcMar>
              <w:top w:type="dxa" w:w="80"/>
              <w:left w:type="dxa" w:w="100"/>
              <w:bottom w:type="dxa" w:w="80"/>
              <w:right w:type="dxa" w:w="100"/>
            </w:tcMar>
          </w:tcPr>
          <w:p>
            <w:r>
              <w:rPr>
                <w:rFonts w:ascii="Calibri" w:cs="Calibri" w:eastAsia="Calibri" w:hAnsi="Calibri"/>
                <w:sz w:val="19"/>
                <w:szCs w:val="19"/>
              </w:rPr>
              <w:t xml:space="preserve">Tim PMKP</w:t>
            </w:r>
          </w:p>
        </w:tc>
        <w:tc>
          <w:tcPr>
            <w:tcW w:type="dxa" w:w="6400"/>
            <w:shd w:fill="FBEAF0" w:val="clear"/>
            <w:tcMar>
              <w:top w:type="dxa" w:w="80"/>
              <w:left w:type="dxa" w:w="100"/>
              <w:bottom w:type="dxa" w:w="80"/>
              <w:right w:type="dxa" w:w="100"/>
            </w:tcMar>
          </w:tcPr>
          <w:p>
            <w:r>
              <w:rPr>
                <w:rFonts w:ascii="Calibri" w:cs="Calibri" w:eastAsia="Calibri" w:hAnsi="Calibri"/>
                <w:sz w:val="19"/>
                <w:szCs w:val="19"/>
              </w:rPr>
              <w:t xml:space="preserve">Sinkronisasi data insiden/keluhan yang berdimensi etik dengan program mutu dan keselamatan pasien.</w:t>
            </w:r>
          </w:p>
        </w:tc>
      </w:tr>
      <w:tr>
        <w:tc>
          <w:tcPr>
            <w:tcW w:type="dxa" w:w="2600"/>
            <w:shd w:fill="FFFFFF" w:val="clear"/>
            <w:tcMar>
              <w:top w:type="dxa" w:w="80"/>
              <w:left w:type="dxa" w:w="100"/>
              <w:bottom w:type="dxa" w:w="80"/>
              <w:right w:type="dxa" w:w="100"/>
            </w:tcMar>
          </w:tcPr>
          <w:p>
            <w:r>
              <w:rPr>
                <w:rFonts w:ascii="Calibri" w:cs="Calibri" w:eastAsia="Calibri" w:hAnsi="Calibri"/>
                <w:sz w:val="19"/>
                <w:szCs w:val="19"/>
              </w:rPr>
              <w:t xml:space="preserve">Unit SDM</w:t>
            </w:r>
          </w:p>
        </w:tc>
        <w:tc>
          <w:tcPr>
            <w:tcW w:type="dxa" w:w="6400"/>
            <w:shd w:fill="FFFFFF" w:val="clear"/>
            <w:tcMar>
              <w:top w:type="dxa" w:w="80"/>
              <w:left w:type="dxa" w:w="100"/>
              <w:bottom w:type="dxa" w:w="80"/>
              <w:right w:type="dxa" w:w="100"/>
            </w:tcMar>
          </w:tcPr>
          <w:p>
            <w:r>
              <w:rPr>
                <w:rFonts w:ascii="Calibri" w:cs="Calibri" w:eastAsia="Calibri" w:hAnsi="Calibri"/>
                <w:sz w:val="19"/>
                <w:szCs w:val="19"/>
              </w:rPr>
              <w:t xml:space="preserve">Koordinasi data kepegawaian, orientasi pegawai baru, dan tindak lanjut disiplin.</w:t>
            </w:r>
          </w:p>
        </w:tc>
      </w:tr>
      <w:tr>
        <w:tc>
          <w:tcPr>
            <w:tcW w:type="dxa" w:w="2600"/>
            <w:shd w:fill="FBEAF0" w:val="clear"/>
            <w:tcMar>
              <w:top w:type="dxa" w:w="80"/>
              <w:left w:type="dxa" w:w="100"/>
              <w:bottom w:type="dxa" w:w="80"/>
              <w:right w:type="dxa" w:w="100"/>
            </w:tcMar>
          </w:tcPr>
          <w:p>
            <w:r>
              <w:rPr>
                <w:rFonts w:ascii="Calibri" w:cs="Calibri" w:eastAsia="Calibri" w:hAnsi="Calibri"/>
                <w:sz w:val="19"/>
                <w:szCs w:val="19"/>
              </w:rPr>
              <w:t xml:space="preserve">Unit Humas/Pengaduan</w:t>
            </w:r>
          </w:p>
        </w:tc>
        <w:tc>
          <w:tcPr>
            <w:tcW w:type="dxa" w:w="6400"/>
            <w:shd w:fill="FBEAF0" w:val="clear"/>
            <w:tcMar>
              <w:top w:type="dxa" w:w="80"/>
              <w:left w:type="dxa" w:w="100"/>
              <w:bottom w:type="dxa" w:w="80"/>
              <w:right w:type="dxa" w:w="100"/>
            </w:tcMar>
          </w:tcPr>
          <w:p>
            <w:r>
              <w:rPr>
                <w:rFonts w:ascii="Calibri" w:cs="Calibri" w:eastAsia="Calibri" w:hAnsi="Calibri"/>
                <w:sz w:val="19"/>
                <w:szCs w:val="19"/>
              </w:rPr>
              <w:t xml:space="preserve">Penerusan pengaduan masyarakat/pasien yang bersifat etik.</w:t>
            </w:r>
          </w:p>
        </w:tc>
      </w:tr>
    </w:tbl>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VII — POLA KETENAGAAN DAN KUALIFIKASI PERSONIL</w:t>
      </w:r>
    </w:p>
    <w:p>
      <w:pPr>
        <w:spacing w:after="140"/>
        <w:jc w:val="both"/>
      </w:pPr>
      <w:r>
        <w:rPr>
          <w:rFonts w:ascii="Calibri" w:cs="Calibri" w:eastAsia="Calibri" w:hAnsi="Calibri"/>
          <w:b w:val="false"/>
          <w:bCs w:val="false"/>
          <w:i w:val="false"/>
          <w:iCs w:val="false"/>
          <w:color w:val="222222"/>
          <w:sz w:val="21"/>
          <w:szCs w:val="21"/>
        </w:rPr>
        <w:t xml:space="preserve">KEHRS beranggotakan minimal 6 (enam) orang: 1 Ketua, 1 Sekretaris, dan minimal 4 Anggota yang mewakili unsur medis, keperawatan, kebidanan, dan penunjang. Seluruh personil diangkat oleh Direktur berdasarkan rekam jejak etika kerja yang baik dan tidak sedang menjalani proses pembinaan disiplin.</w:t>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VIII — ORIENTASI ANGGOTA KEHRS BARU</w:t>
      </w:r>
    </w:p>
    <w:p>
      <w:pPr>
        <w:spacing w:after="140"/>
        <w:jc w:val="both"/>
      </w:pPr>
      <w:r>
        <w:rPr>
          <w:rFonts w:ascii="Calibri" w:cs="Calibri" w:eastAsia="Calibri" w:hAnsi="Calibri"/>
          <w:b w:val="false"/>
          <w:bCs w:val="false"/>
          <w:i w:val="false"/>
          <w:iCs w:val="false"/>
          <w:color w:val="222222"/>
          <w:sz w:val="21"/>
          <w:szCs w:val="21"/>
        </w:rPr>
        <w:t xml:space="preserve">Anggota KEHRS yang baru diangkat wajib mengikuti orientasi berupa: pemaparan Pedoman Pengelolaan Kode Etik RS, Pedoman Pengorganisasian ini, alur penanganan pelanggaran etik, dan pendampingan pada 1 (satu) kali rapat/kasus pertama oleh Ketua atau Sekretaris KEHRS.</w:t>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IX — RAPAT</w:t>
      </w:r>
    </w:p>
    <w:p>
      <w:pPr>
        <w:spacing w:after="140"/>
        <w:jc w:val="both"/>
      </w:pPr>
      <w:r>
        <w:rPr>
          <w:rFonts w:ascii="Calibri" w:cs="Calibri" w:eastAsia="Calibri" w:hAnsi="Calibri"/>
          <w:b w:val="false"/>
          <w:bCs w:val="false"/>
          <w:i w:val="false"/>
          <w:iCs w:val="false"/>
          <w:color w:val="222222"/>
          <w:sz w:val="21"/>
          <w:szCs w:val="21"/>
        </w:rPr>
        <w:t xml:space="preserve">Rapat rutin diselenggarakan minimal 1 kali setiap 3 bulan; rapat insidental diselenggarakan sesuai kebutuhan penanganan kasus. Setiap rapat wajib memiliki undangan, daftar hadir, dan notulen yang didokumentasikan oleh Sekretaris.</w:t>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X — PELAPORAN</w:t>
      </w:r>
    </w:p>
    <w:p>
      <w:pPr>
        <w:spacing w:after="140"/>
        <w:jc w:val="both"/>
      </w:pPr>
      <w:r>
        <w:rPr>
          <w:rFonts w:ascii="Calibri" w:cs="Calibri" w:eastAsia="Calibri" w:hAnsi="Calibri"/>
          <w:b w:val="false"/>
          <w:bCs w:val="false"/>
          <w:i w:val="false"/>
          <w:iCs w:val="false"/>
          <w:color w:val="222222"/>
          <w:sz w:val="21"/>
          <w:szCs w:val="21"/>
        </w:rPr>
        <w:t xml:space="preserve">KEHRS menyusun laporan kegiatan triwulanan dan tahunan kepada Direktur menggunakan format pada Dokumen 8 — Format Laporan Kegiatan KEHRS.</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Pengesahan</w:t>
      </w:r>
    </w:p>
    <w:p>
      <w:pPr>
        <w:spacing w:after="140"/>
        <w:jc w:val="both"/>
      </w:pPr>
      <w:r>
        <w:rPr>
          <w:rFonts w:ascii="Calibri" w:cs="Calibri" w:eastAsia="Calibri" w:hAnsi="Calibri"/>
          <w:b w:val="false"/>
          <w:bCs w:val="false"/>
          <w:i w:val="false"/>
          <w:iCs w:val="false"/>
          <w:color w:val="222222"/>
          <w:sz w:val="21"/>
          <w:szCs w:val="21"/>
        </w:rPr>
        <w:t xml:space="preserve">Pedoman ini berlaku sejak tanggal ditetapkan dan akan ditinjau kembali sekurang-kurangnya setiap 3 (tiga) tahun atau sesuai kebutuhan.</w:t>
      </w:r>
    </w:p>
    <w:p>
      <w:pPr>
        <w:spacing w:before="600"/>
        <w:jc w:val="right"/>
      </w:pPr>
      <w:r>
        <w:rPr>
          <w:rFonts w:ascii="Calibri" w:cs="Calibri" w:eastAsia="Calibri" w:hAnsi="Calibri"/>
          <w:sz w:val="21"/>
          <w:szCs w:val="21"/>
        </w:rPr>
        <w:t xml:space="preserve">Malang, __________ 2026</w:t>
      </w:r>
    </w:p>
    <w:p>
      <w:pPr>
        <w:spacing w:after="1000"/>
        <w:jc w:val="right"/>
      </w:pPr>
      <w:r>
        <w:rPr>
          <w:rFonts w:ascii="Calibri" w:cs="Calibri" w:eastAsia="Calibri" w:hAnsi="Calibri"/>
          <w:sz w:val="21"/>
          <w:szCs w:val="21"/>
        </w:rPr>
        <w:t xml:space="preserve">Direktur RSIA Mutiara Bunda</w:t>
      </w:r>
    </w:p>
    <w:p>
      <w:pPr>
        <w:jc w:val="right"/>
      </w:pPr>
      <w:r>
        <w:rPr>
          <w:rFonts w:ascii="Calibri" w:cs="Calibri" w:eastAsia="Calibri" w:hAnsi="Calibri"/>
          <w:b/>
          <w:bCs/>
          <w:sz w:val="21"/>
          <w:szCs w:val="21"/>
          <w:u w:val="single"/>
        </w:rPr>
        <w:t xml:space="preserve">dr. Nunung Retno Wijayanti, MARS</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RSIA Mutiara Bunda — Halaman </w:t>
    </w:r>
    <w:r>
      <w:rPr>
        <w:rFonts w:ascii="Calibri" w:cs="Calibri" w:eastAsia="Calibri" w:hAnsi="Calibri"/>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360"/>
      </w:pPr>
    </w:lvl>
    <w:lvl w:ilvl="1" w15:tentative="1">
      <w:start w:val="1"/>
      <w:numFmt w:val="lowerLetter"/>
      <w:lvlText w:val="%2."/>
      <w:lvlJc w:val="start"/>
      <w:pPr>
        <w:ind w:left="1152"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2026-08-04T06:27:28.257Z</dcterms:created>
  <dcterms:modified xsi:type="dcterms:W3CDTF">2026-08-04T06:27:28.258Z</dcterms:modified>
</cp:coreProperties>
</file>

<file path=docProps/custom.xml><?xml version="1.0" encoding="utf-8"?>
<Properties xmlns="http://schemas.openxmlformats.org/officeDocument/2006/custom-properties" xmlns:vt="http://schemas.openxmlformats.org/officeDocument/2006/docPropsVTypes"/>
</file>